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B1C" w:rsidRPr="00256D1F" w:rsidRDefault="00C86317" w:rsidP="00702DAE">
      <w:pPr>
        <w:spacing w:after="0" w:line="240" w:lineRule="auto"/>
        <w:ind w:left="-426"/>
        <w:jc w:val="both"/>
        <w:rPr>
          <w:rFonts w:ascii="Times New Roman" w:hAnsi="Times New Roman" w:cs="Times New Roman"/>
          <w:b/>
          <w:bCs/>
          <w:sz w:val="24"/>
          <w:szCs w:val="24"/>
        </w:rPr>
      </w:pPr>
      <w:r>
        <w:rPr>
          <w:noProof/>
          <w:sz w:val="18"/>
          <w:szCs w:val="18"/>
          <w:lang w:eastAsia="hu-HU"/>
        </w:rPr>
        <w:drawing>
          <wp:inline distT="0" distB="0" distL="0" distR="0">
            <wp:extent cx="6905625" cy="981075"/>
            <wp:effectExtent l="19050" t="0" r="952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7"/>
                    <a:srcRect/>
                    <a:stretch>
                      <a:fillRect/>
                    </a:stretch>
                  </pic:blipFill>
                  <pic:spPr bwMode="auto">
                    <a:xfrm>
                      <a:off x="0" y="0"/>
                      <a:ext cx="6905625" cy="981075"/>
                    </a:xfrm>
                    <a:prstGeom prst="rect">
                      <a:avLst/>
                    </a:prstGeom>
                    <a:noFill/>
                    <a:ln w="9525">
                      <a:noFill/>
                      <a:miter lim="800000"/>
                      <a:headEnd/>
                      <a:tailEnd/>
                    </a:ln>
                  </pic:spPr>
                </pic:pic>
              </a:graphicData>
            </a:graphic>
          </wp:inline>
        </w:drawing>
      </w: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rPr>
      </w:pPr>
    </w:p>
    <w:p w:rsidR="00474B1C" w:rsidRPr="00256D1F" w:rsidRDefault="00474B1C" w:rsidP="00702DAE">
      <w:pPr>
        <w:spacing w:after="0" w:line="240" w:lineRule="auto"/>
        <w:jc w:val="center"/>
        <w:rPr>
          <w:rFonts w:ascii="Times New Roman" w:hAnsi="Times New Roman" w:cs="Times New Roman"/>
          <w:b/>
          <w:bCs/>
          <w:sz w:val="24"/>
          <w:szCs w:val="24"/>
          <w:u w:val="single"/>
        </w:rPr>
      </w:pPr>
    </w:p>
    <w:p w:rsidR="00474B1C" w:rsidRPr="00256D1F" w:rsidRDefault="00474B1C" w:rsidP="001146AE">
      <w:pPr>
        <w:spacing w:after="0"/>
        <w:jc w:val="center"/>
        <w:rPr>
          <w:rFonts w:ascii="Times New Roman" w:hAnsi="Times New Roman" w:cs="Times New Roman"/>
          <w:b/>
          <w:bCs/>
          <w:sz w:val="44"/>
          <w:szCs w:val="44"/>
        </w:rPr>
      </w:pPr>
      <w:r w:rsidRPr="00256D1F">
        <w:rPr>
          <w:rFonts w:ascii="Times New Roman" w:hAnsi="Times New Roman" w:cs="Times New Roman"/>
          <w:b/>
          <w:bCs/>
          <w:sz w:val="44"/>
          <w:szCs w:val="44"/>
        </w:rPr>
        <w:t>A Dunakeszi Közüzemi Nonprofit Kft. 2017. évi üzleti terve</w:t>
      </w: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spacing w:after="0" w:line="240" w:lineRule="auto"/>
        <w:jc w:val="center"/>
        <w:rPr>
          <w:rFonts w:ascii="Times New Roman" w:hAnsi="Times New Roman" w:cs="Times New Roman"/>
          <w:b/>
          <w:bCs/>
          <w:sz w:val="24"/>
          <w:szCs w:val="24"/>
        </w:rPr>
      </w:pPr>
      <w:r w:rsidRPr="00256D1F">
        <w:rPr>
          <w:rFonts w:ascii="Times New Roman" w:hAnsi="Times New Roman" w:cs="Times New Roman"/>
          <w:b/>
          <w:bCs/>
          <w:sz w:val="24"/>
          <w:szCs w:val="24"/>
        </w:rPr>
        <w:t>Dunakeszi, 2017. február hó</w:t>
      </w:r>
    </w:p>
    <w:p w:rsidR="00474B1C" w:rsidRPr="00256D1F" w:rsidRDefault="00474B1C" w:rsidP="001146AE">
      <w:pPr>
        <w:rPr>
          <w:rFonts w:ascii="Times New Roman" w:hAnsi="Times New Roman" w:cs="Times New Roman"/>
          <w:b/>
          <w:bCs/>
          <w:sz w:val="24"/>
          <w:szCs w:val="24"/>
        </w:rPr>
      </w:pPr>
      <w:r w:rsidRPr="00256D1F">
        <w:rPr>
          <w:rFonts w:ascii="Times New Roman" w:hAnsi="Times New Roman" w:cs="Times New Roman"/>
          <w:b/>
          <w:bCs/>
          <w:sz w:val="24"/>
          <w:szCs w:val="24"/>
        </w:rPr>
        <w:br w:type="page"/>
      </w:r>
    </w:p>
    <w:p w:rsidR="00474B1C" w:rsidRPr="00256D1F" w:rsidRDefault="00474B1C" w:rsidP="001146AE">
      <w:pPr>
        <w:spacing w:after="0" w:line="240" w:lineRule="auto"/>
        <w:jc w:val="center"/>
        <w:rPr>
          <w:rFonts w:ascii="Times New Roman" w:hAnsi="Times New Roman" w:cs="Times New Roman"/>
          <w:b/>
          <w:bCs/>
          <w:sz w:val="24"/>
          <w:szCs w:val="24"/>
        </w:rPr>
      </w:pPr>
    </w:p>
    <w:p w:rsidR="00474B1C" w:rsidRPr="00256D1F" w:rsidRDefault="00474B1C" w:rsidP="001146AE">
      <w:pPr>
        <w:pStyle w:val="Listaszerbekezds"/>
        <w:numPr>
          <w:ilvl w:val="0"/>
          <w:numId w:val="1"/>
        </w:numPr>
        <w:jc w:val="center"/>
        <w:rPr>
          <w:rFonts w:ascii="Times New Roman" w:hAnsi="Times New Roman" w:cs="Times New Roman"/>
          <w:b/>
          <w:bCs/>
          <w:sz w:val="28"/>
          <w:szCs w:val="28"/>
        </w:rPr>
      </w:pPr>
      <w:r w:rsidRPr="00256D1F">
        <w:rPr>
          <w:rFonts w:ascii="Times New Roman" w:hAnsi="Times New Roman" w:cs="Times New Roman"/>
          <w:b/>
          <w:bCs/>
          <w:sz w:val="28"/>
          <w:szCs w:val="28"/>
        </w:rPr>
        <w:t>Vezetői összefoglaló</w:t>
      </w:r>
    </w:p>
    <w:p w:rsidR="00474B1C" w:rsidRPr="00256D1F" w:rsidRDefault="00474B1C" w:rsidP="001146AE">
      <w:pPr>
        <w:spacing w:after="0" w:line="240" w:lineRule="auto"/>
        <w:jc w:val="center"/>
        <w:rPr>
          <w:rFonts w:ascii="Times New Roman" w:hAnsi="Times New Roman" w:cs="Times New Roman"/>
          <w:b/>
          <w:bCs/>
        </w:rPr>
      </w:pP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 xml:space="preserve">A Dunakeszi Közüzemi Nonprofit Kft. (továbbiakban: a társaság) a 2016 üzleti évben teljesítette a közszolgáltatási és egyéb feladat-ellátási szerződésekben vállalt kötelezettségeit, illetőleg a 2016. évi üzleti tervben prognosztizált gazdálkodási eredményeket. </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A társaság, mint Dunakeszi városának meghatározó közszolgáltatója, 2017-ben is az általa nyújtott közszolgáltatások és egyéb közhasznú feladatok magas színvonalú teljesítésében érdekelt. A társaságnak az elmúlt évekhez hasonlóan kiemelt stratégiai célkitűzése az általa nyújtott köz- és egyéb szolgáltatások biztonságának folyamatos fenntartása, a felhasználói megítélés, megelégedettség javítása a társaság pénzügyi stabilitásának biztosításával.</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 xml:space="preserve">A társaság feladatellátását a 2017. üzleti évben is meghatározza Dunakeszi Város Önkormányzatával fennálló szerződéses kapcsolatrendszer. A tervezés megfelel azon elsőrendű tulajdonosi követelménynek, mely szerint az ellentételezés összegének alacsonyabb szintje melletti működésnek együtt kell járnia a lakossági szolgáltatások színvonalának emelésével. Minden tulajdonosi jogkörben végzett tevékenységnél gondos gazda módjára kell érvényesíteni Dunakeszi Város Önkormányzatának érdekeit. A 2017. évi működést meghatározó üzleti terv igazodik a tulajdonos által megalkotott ágazati szakmai koncepciókhoz, illetőleg a közszolgáltatási szerződésekhez is. </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A 2017. évi működési feltételrendszer tervezése során a különböző ágazatok közötti együttműködésre, a szervezeti és szervezési módszerekben rejlő hatékonyságjavításra, informatikai, humán erőforrás és létesítményfejlesztésekre helyeztük a hangsúlyt.</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A 2017 évi. üzleti terv összeállítására bázisadatok alapján, a 2016. évi várható bevételek és ráfordítások elemzésével került sor. A társaság üzleti terve két részből áll. A szöveges részben helyzetelemzést és a várható jövő évi körülmények vizsgálatát követően felvázoljuk az ellátandó közszolgáltatási feladatok megvalósításához kapcsolódó fontosabb tulajdonosi elvárásokat, elveket és a végrehajtás módszereit, ezt követően a számszaki prognózis tartalmazza a felmerülő személyi és dologi költségeket, vagyis az ellentételezés összegének meghatározását. A társaság üzleti terve az ellátott közfeladatok szerinti bontásban vázolja fel azokat a javaslatokat, amelyek mentén a divíziók megvalósítják a tulajdonosi elvárásokat, az ellátandó közfeladatot és realizálják az elvárt bevételt.</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 xml:space="preserve">A - jogszabályi és gazdasági - feltételek folyamatos változását a pénzügyi folyamatok állandó kontrolljával követjük. </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 xml:space="preserve">A Társaság a 2017. évi üzleti évet </w:t>
      </w:r>
      <w:r>
        <w:rPr>
          <w:rFonts w:ascii="Times New Roman" w:hAnsi="Times New Roman" w:cs="Times New Roman"/>
          <w:sz w:val="24"/>
          <w:szCs w:val="24"/>
        </w:rPr>
        <w:t>286.163</w:t>
      </w:r>
      <w:r w:rsidRPr="00256D1F">
        <w:rPr>
          <w:rFonts w:ascii="Times New Roman" w:hAnsi="Times New Roman" w:cs="Times New Roman"/>
          <w:sz w:val="24"/>
          <w:szCs w:val="24"/>
        </w:rPr>
        <w:t xml:space="preserve"> ezer forint </w:t>
      </w:r>
      <w:r>
        <w:rPr>
          <w:rFonts w:ascii="Times New Roman" w:hAnsi="Times New Roman" w:cs="Times New Roman"/>
          <w:sz w:val="24"/>
          <w:szCs w:val="24"/>
        </w:rPr>
        <w:t xml:space="preserve">negatív </w:t>
      </w:r>
      <w:r w:rsidRPr="00256D1F">
        <w:rPr>
          <w:rFonts w:ascii="Times New Roman" w:hAnsi="Times New Roman" w:cs="Times New Roman"/>
          <w:sz w:val="24"/>
          <w:szCs w:val="24"/>
        </w:rPr>
        <w:t xml:space="preserve">üzleti és </w:t>
      </w:r>
      <w:r>
        <w:rPr>
          <w:rFonts w:ascii="Times New Roman" w:hAnsi="Times New Roman" w:cs="Times New Roman"/>
          <w:sz w:val="24"/>
          <w:szCs w:val="24"/>
        </w:rPr>
        <w:t>286.842</w:t>
      </w:r>
      <w:r w:rsidRPr="00256D1F">
        <w:rPr>
          <w:rFonts w:ascii="Times New Roman" w:hAnsi="Times New Roman" w:cs="Times New Roman"/>
          <w:sz w:val="24"/>
          <w:szCs w:val="24"/>
        </w:rPr>
        <w:t xml:space="preserve"> ezer forint </w:t>
      </w:r>
      <w:r>
        <w:rPr>
          <w:rFonts w:ascii="Times New Roman" w:hAnsi="Times New Roman" w:cs="Times New Roman"/>
          <w:sz w:val="24"/>
          <w:szCs w:val="24"/>
        </w:rPr>
        <w:t xml:space="preserve">negatív </w:t>
      </w:r>
      <w:r w:rsidRPr="00256D1F">
        <w:rPr>
          <w:rFonts w:ascii="Times New Roman" w:hAnsi="Times New Roman" w:cs="Times New Roman"/>
          <w:sz w:val="24"/>
          <w:szCs w:val="24"/>
        </w:rPr>
        <w:t xml:space="preserve">adózott </w:t>
      </w:r>
      <w:r>
        <w:rPr>
          <w:rFonts w:ascii="Times New Roman" w:hAnsi="Times New Roman" w:cs="Times New Roman"/>
          <w:sz w:val="24"/>
          <w:szCs w:val="24"/>
        </w:rPr>
        <w:t>eredménnyel</w:t>
      </w:r>
      <w:r w:rsidRPr="00256D1F">
        <w:rPr>
          <w:rFonts w:ascii="Times New Roman" w:hAnsi="Times New Roman" w:cs="Times New Roman"/>
          <w:sz w:val="24"/>
          <w:szCs w:val="24"/>
        </w:rPr>
        <w:t xml:space="preserve"> tervezi.</w:t>
      </w:r>
    </w:p>
    <w:p w:rsidR="00474B1C" w:rsidRPr="00256D1F" w:rsidRDefault="00474B1C" w:rsidP="001146AE">
      <w:pPr>
        <w:rPr>
          <w:rFonts w:ascii="Times New Roman" w:hAnsi="Times New Roman" w:cs="Times New Roman"/>
          <w:b/>
          <w:bCs/>
          <w:sz w:val="28"/>
          <w:szCs w:val="28"/>
        </w:rPr>
      </w:pPr>
      <w:r w:rsidRPr="00256D1F">
        <w:rPr>
          <w:rFonts w:ascii="Times New Roman" w:hAnsi="Times New Roman" w:cs="Times New Roman"/>
          <w:b/>
          <w:bCs/>
          <w:sz w:val="28"/>
          <w:szCs w:val="28"/>
        </w:rPr>
        <w:br w:type="page"/>
      </w:r>
    </w:p>
    <w:p w:rsidR="00474B1C" w:rsidRPr="00256D1F" w:rsidRDefault="00474B1C" w:rsidP="001146AE">
      <w:pPr>
        <w:pStyle w:val="Listaszerbekezds"/>
        <w:jc w:val="center"/>
        <w:rPr>
          <w:rFonts w:ascii="Times New Roman" w:hAnsi="Times New Roman" w:cs="Times New Roman"/>
          <w:b/>
          <w:bCs/>
          <w:sz w:val="28"/>
          <w:szCs w:val="28"/>
        </w:rPr>
      </w:pPr>
    </w:p>
    <w:p w:rsidR="00474B1C" w:rsidRPr="00256D1F" w:rsidRDefault="00474B1C" w:rsidP="001146AE">
      <w:pPr>
        <w:pStyle w:val="Listaszerbekezds"/>
        <w:numPr>
          <w:ilvl w:val="0"/>
          <w:numId w:val="1"/>
        </w:numPr>
        <w:jc w:val="center"/>
        <w:rPr>
          <w:rFonts w:ascii="Times New Roman" w:hAnsi="Times New Roman" w:cs="Times New Roman"/>
          <w:b/>
          <w:bCs/>
          <w:sz w:val="28"/>
          <w:szCs w:val="28"/>
        </w:rPr>
      </w:pPr>
      <w:r w:rsidRPr="00256D1F">
        <w:rPr>
          <w:rFonts w:ascii="Times New Roman" w:hAnsi="Times New Roman" w:cs="Times New Roman"/>
          <w:b/>
          <w:bCs/>
          <w:sz w:val="28"/>
          <w:szCs w:val="28"/>
        </w:rPr>
        <w:t>A 2016. év gazdálkodásának értékelése</w:t>
      </w:r>
    </w:p>
    <w:p w:rsidR="00474B1C" w:rsidRPr="00256D1F" w:rsidRDefault="00474B1C" w:rsidP="001146AE">
      <w:pPr>
        <w:ind w:left="360"/>
        <w:jc w:val="center"/>
        <w:rPr>
          <w:rFonts w:ascii="Times New Roman" w:hAnsi="Times New Roman" w:cs="Times New Roman"/>
          <w:b/>
          <w:bCs/>
          <w:sz w:val="28"/>
          <w:szCs w:val="28"/>
        </w:rPr>
      </w:pPr>
    </w:p>
    <w:p w:rsidR="00474B1C" w:rsidRPr="00256D1F" w:rsidRDefault="00474B1C" w:rsidP="001146AE">
      <w:pPr>
        <w:pStyle w:val="Listaszerbekezds"/>
        <w:numPr>
          <w:ilvl w:val="1"/>
          <w:numId w:val="1"/>
        </w:numPr>
        <w:jc w:val="both"/>
        <w:rPr>
          <w:rFonts w:ascii="Times New Roman" w:hAnsi="Times New Roman" w:cs="Times New Roman"/>
          <w:i/>
          <w:iCs/>
          <w:sz w:val="24"/>
          <w:szCs w:val="24"/>
        </w:rPr>
      </w:pPr>
      <w:r w:rsidRPr="00256D1F">
        <w:rPr>
          <w:rFonts w:ascii="Times New Roman" w:hAnsi="Times New Roman" w:cs="Times New Roman"/>
          <w:i/>
          <w:iCs/>
          <w:sz w:val="24"/>
          <w:szCs w:val="24"/>
        </w:rPr>
        <w:t xml:space="preserve"> A 2016. évi működés értékelése </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A társaság 2016. üzleti évében a közszolgáltatási és feladat-ellátási szerződésekben számára előírt feladatokat teljesítette, likviditását folyamatosan fenntartotta, gazdálkodása a folyamatosan változó ágazati szabályozási és finanszírozási környezetben is stabil volt.</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A társaság által teljesített közszolgáltatási (távhőszolgáltatási, hulladékszállítási, temető-fenntartási) tevékenységek mennyiségi mutatóit és szolgáltatási minőségét megőrizte, némely esetben javítani is tudta.</w:t>
      </w:r>
    </w:p>
    <w:p w:rsidR="00474B1C" w:rsidRPr="00256D1F" w:rsidRDefault="00474B1C" w:rsidP="001146AE">
      <w:pPr>
        <w:ind w:left="360"/>
        <w:jc w:val="both"/>
        <w:rPr>
          <w:rFonts w:ascii="Times New Roman" w:hAnsi="Times New Roman" w:cs="Times New Roman"/>
          <w:sz w:val="24"/>
          <w:szCs w:val="24"/>
        </w:rPr>
      </w:pPr>
      <w:r w:rsidRPr="00256D1F">
        <w:rPr>
          <w:rFonts w:ascii="Times New Roman" w:hAnsi="Times New Roman" w:cs="Times New Roman"/>
          <w:sz w:val="24"/>
          <w:szCs w:val="24"/>
        </w:rPr>
        <w:t>A Dunakeszi Város Önkormányzatának tulajdonában álló közel 90 ingatlan üzemeltetését és működtetését az Önkormányzat által meghatározott és megrendelt terjedelemben ellátta. Ennek keretében:</w:t>
      </w:r>
    </w:p>
    <w:p w:rsidR="00474B1C" w:rsidRPr="00256D1F" w:rsidRDefault="00474B1C" w:rsidP="001146AE">
      <w:pPr>
        <w:pStyle w:val="Listaszerbekezds"/>
        <w:numPr>
          <w:ilvl w:val="0"/>
          <w:numId w:val="6"/>
        </w:numPr>
        <w:jc w:val="both"/>
        <w:rPr>
          <w:rFonts w:ascii="Times New Roman" w:hAnsi="Times New Roman" w:cs="Times New Roman"/>
          <w:sz w:val="24"/>
          <w:szCs w:val="24"/>
        </w:rPr>
      </w:pPr>
      <w:r w:rsidRPr="00256D1F">
        <w:rPr>
          <w:rFonts w:ascii="Times New Roman" w:hAnsi="Times New Roman" w:cs="Times New Roman"/>
          <w:sz w:val="24"/>
          <w:szCs w:val="24"/>
        </w:rPr>
        <w:t>a tervezett karbantartási feladatokat elvégezte,</w:t>
      </w:r>
    </w:p>
    <w:p w:rsidR="00474B1C" w:rsidRPr="00256D1F" w:rsidRDefault="00474B1C" w:rsidP="001146AE">
      <w:pPr>
        <w:pStyle w:val="Listaszerbekezds"/>
        <w:numPr>
          <w:ilvl w:val="0"/>
          <w:numId w:val="6"/>
        </w:numPr>
        <w:jc w:val="both"/>
        <w:rPr>
          <w:rFonts w:ascii="Times New Roman" w:hAnsi="Times New Roman" w:cs="Times New Roman"/>
          <w:sz w:val="24"/>
          <w:szCs w:val="24"/>
        </w:rPr>
      </w:pPr>
      <w:r w:rsidRPr="00256D1F">
        <w:rPr>
          <w:rFonts w:ascii="Times New Roman" w:hAnsi="Times New Roman" w:cs="Times New Roman"/>
          <w:sz w:val="24"/>
          <w:szCs w:val="24"/>
        </w:rPr>
        <w:t>az eszközökben fellépő meghibásodásokat kezelte és szükség szerint elhárította,</w:t>
      </w:r>
    </w:p>
    <w:p w:rsidR="00474B1C" w:rsidRPr="00256D1F" w:rsidRDefault="00474B1C" w:rsidP="001146AE">
      <w:pPr>
        <w:pStyle w:val="Listaszerbekezds"/>
        <w:numPr>
          <w:ilvl w:val="0"/>
          <w:numId w:val="6"/>
        </w:numPr>
        <w:jc w:val="both"/>
        <w:rPr>
          <w:rFonts w:ascii="Times New Roman" w:hAnsi="Times New Roman" w:cs="Times New Roman"/>
          <w:sz w:val="24"/>
          <w:szCs w:val="24"/>
        </w:rPr>
      </w:pPr>
      <w:r w:rsidRPr="00256D1F">
        <w:rPr>
          <w:rFonts w:ascii="Times New Roman" w:hAnsi="Times New Roman" w:cs="Times New Roman"/>
          <w:sz w:val="24"/>
          <w:szCs w:val="24"/>
        </w:rPr>
        <w:t>a hasznosítható ingatlanokat a piaci keresletnek megfelelően, lehetőség szerint bérbe adta.</w:t>
      </w:r>
    </w:p>
    <w:p w:rsidR="00474B1C" w:rsidRPr="00256D1F" w:rsidRDefault="00474B1C" w:rsidP="001146AE">
      <w:pPr>
        <w:shd w:val="clear" w:color="auto" w:fill="FFFFFF"/>
        <w:spacing w:after="0" w:line="240" w:lineRule="auto"/>
        <w:ind w:left="360"/>
        <w:jc w:val="both"/>
        <w:rPr>
          <w:rFonts w:ascii="Times New Roman" w:hAnsi="Times New Roman" w:cs="Times New Roman"/>
          <w:sz w:val="24"/>
          <w:szCs w:val="24"/>
        </w:rPr>
      </w:pPr>
      <w:r w:rsidRPr="00256D1F">
        <w:rPr>
          <w:rFonts w:ascii="Times New Roman" w:hAnsi="Times New Roman" w:cs="Times New Roman"/>
          <w:sz w:val="24"/>
          <w:szCs w:val="24"/>
        </w:rPr>
        <w:t>A társaság a 2016. évi intézményi felújítási tervet – a korábbi évekhez hasonlóan 2016. évben is - az ingatlanokban működő szervezetekkel egyeztetve, a tulajdonos Önkormányzattal közösen meghatározott célok mentén valósította meg. A felújítási terv éves keretét az előzetes felmérések, árajánlatok és tulajdonossal folytatott egyeztetések során határoztuk meg. A 2016-os évet tekintve a város tulajdonában álló intézményekre összességében 55.970 E Ft került meghatározásra, a tervezett felújítási feladatokat a társaság elvégezte.</w:t>
      </w:r>
    </w:p>
    <w:p w:rsidR="00474B1C" w:rsidRPr="00256D1F" w:rsidRDefault="00474B1C" w:rsidP="001146AE">
      <w:pPr>
        <w:shd w:val="clear" w:color="auto" w:fill="FFFFFF"/>
        <w:spacing w:after="0" w:line="240" w:lineRule="auto"/>
        <w:ind w:left="360"/>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ind w:left="360"/>
        <w:jc w:val="both"/>
        <w:rPr>
          <w:rFonts w:ascii="Arial" w:hAnsi="Arial" w:cs="Arial"/>
          <w:color w:val="222222"/>
          <w:sz w:val="19"/>
          <w:szCs w:val="19"/>
          <w:lang w:eastAsia="hu-HU"/>
        </w:rPr>
      </w:pPr>
      <w:r w:rsidRPr="00256D1F">
        <w:rPr>
          <w:rFonts w:ascii="Times New Roman" w:hAnsi="Times New Roman" w:cs="Times New Roman"/>
          <w:sz w:val="24"/>
          <w:szCs w:val="24"/>
        </w:rPr>
        <w:t>Az ingatlanokon végzett beruházások bonyolítását a tulajdonos által meghatározott célok szerint végezzük. A 2016-os év főbb beruházásai közé tartozott: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szakorvosi Rendelő Intézet Hűtő/fűtő rendszerének felújítása,</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Művelődési Ház épületének teljes körű, belső felújítása,</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Magyarság Sportpálya fő épületének teljes körű, belső felújítása,</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Fóti úti orvosi rendelő épületének teljes körű, külső-belső felújítása,</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város által vásárolt balatonakarattyai telken a városi gyermeküdülő építésének megkezdése,</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városi csónaktároló 2. ütemének kivitelezése,</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városi óvodák játszóudvarainak felújítása,</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Vasút u. 11 alatti irodaház belső felújítása,</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EPDM sportpályák építése iskolaudvarokon.</w:t>
      </w:r>
    </w:p>
    <w:p w:rsidR="00474B1C" w:rsidRPr="00256D1F" w:rsidRDefault="00474B1C" w:rsidP="001146AE">
      <w:pPr>
        <w:shd w:val="clear" w:color="auto" w:fill="FFFFFF"/>
        <w:spacing w:after="0" w:line="240" w:lineRule="auto"/>
        <w:rPr>
          <w:rFonts w:ascii="Arial" w:hAnsi="Arial" w:cs="Arial"/>
          <w:color w:val="222222"/>
          <w:sz w:val="19"/>
          <w:szCs w:val="19"/>
          <w:lang w:eastAsia="hu-HU"/>
        </w:rPr>
      </w:pPr>
    </w:p>
    <w:p w:rsidR="00474B1C" w:rsidRPr="00256D1F" w:rsidRDefault="00474B1C" w:rsidP="001146AE">
      <w:pPr>
        <w:shd w:val="clear" w:color="auto" w:fill="FFFFFF"/>
        <w:spacing w:after="0" w:line="240" w:lineRule="auto"/>
        <w:ind w:left="360"/>
        <w:jc w:val="both"/>
        <w:rPr>
          <w:rFonts w:ascii="Times New Roman" w:hAnsi="Times New Roman" w:cs="Times New Roman"/>
          <w:sz w:val="24"/>
          <w:szCs w:val="24"/>
        </w:rPr>
      </w:pPr>
      <w:r w:rsidRPr="00256D1F">
        <w:rPr>
          <w:rFonts w:ascii="Times New Roman" w:hAnsi="Times New Roman" w:cs="Times New Roman"/>
          <w:sz w:val="24"/>
          <w:szCs w:val="24"/>
        </w:rPr>
        <w:t>A társaság által vagyonkezelésbe vett ingatlanok esetében a jogszabály által előírt visszapótlási kötelezettséget (ennek összege 2016. évben cca. 35.000 E Ft volt) jóval meghaladó összegű beruházást végzett, a 2016. évben befejezett és az Önkormányzatnak átadott beruházások értéke 573.335 E Ft volt, a 2016. évben megkezdett, az év utolsó napján még folyamatban lévő beruházások értéke elérte a 69.118 E Ft-ot. A beruházások részletező adatait az 1. számú táblázatban mutatjuk be</w:t>
      </w:r>
    </w:p>
    <w:p w:rsidR="00474B1C" w:rsidRPr="00256D1F" w:rsidRDefault="00474B1C" w:rsidP="001146AE">
      <w:pPr>
        <w:shd w:val="clear" w:color="auto" w:fill="FFFFFF"/>
        <w:spacing w:after="0" w:line="240" w:lineRule="auto"/>
        <w:ind w:left="360"/>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ind w:left="360"/>
        <w:jc w:val="center"/>
        <w:rPr>
          <w:rFonts w:ascii="Times New Roman" w:hAnsi="Times New Roman" w:cs="Times New Roman"/>
          <w:i/>
          <w:iCs/>
          <w:sz w:val="24"/>
          <w:szCs w:val="24"/>
        </w:rPr>
      </w:pPr>
      <w:r w:rsidRPr="00256D1F">
        <w:rPr>
          <w:rFonts w:ascii="Times New Roman" w:hAnsi="Times New Roman" w:cs="Times New Roman"/>
          <w:i/>
          <w:iCs/>
          <w:sz w:val="24"/>
          <w:szCs w:val="24"/>
        </w:rPr>
        <w:t xml:space="preserve">Vagyon kezelt ingatlanokon 2016. évben végzett beruházások </w:t>
      </w:r>
    </w:p>
    <w:p w:rsidR="00474B1C" w:rsidRPr="00256D1F" w:rsidRDefault="00474B1C" w:rsidP="001146AE">
      <w:pPr>
        <w:shd w:val="clear" w:color="auto" w:fill="FFFFFF"/>
        <w:spacing w:after="0" w:line="240" w:lineRule="auto"/>
        <w:ind w:left="360"/>
        <w:jc w:val="center"/>
        <w:rPr>
          <w:rFonts w:ascii="Times New Roman" w:hAnsi="Times New Roman" w:cs="Times New Roman"/>
          <w:i/>
          <w:iCs/>
          <w:sz w:val="24"/>
          <w:szCs w:val="24"/>
        </w:rPr>
      </w:pPr>
      <w:r w:rsidRPr="00256D1F">
        <w:rPr>
          <w:rFonts w:ascii="Times New Roman" w:hAnsi="Times New Roman" w:cs="Times New Roman"/>
          <w:i/>
          <w:iCs/>
          <w:sz w:val="24"/>
          <w:szCs w:val="24"/>
        </w:rPr>
        <w:t>(adatok E Ft-ban)</w:t>
      </w:r>
    </w:p>
    <w:p w:rsidR="00474B1C" w:rsidRPr="00256D1F" w:rsidRDefault="00474B1C" w:rsidP="001146AE">
      <w:pPr>
        <w:pStyle w:val="Listaszerbekezds"/>
        <w:numPr>
          <w:ilvl w:val="0"/>
          <w:numId w:val="12"/>
        </w:numPr>
        <w:shd w:val="clear" w:color="auto" w:fill="FFFFFF"/>
        <w:spacing w:after="0" w:line="240" w:lineRule="auto"/>
        <w:jc w:val="right"/>
        <w:rPr>
          <w:rFonts w:ascii="Times New Roman" w:hAnsi="Times New Roman" w:cs="Times New Roman"/>
          <w:i/>
          <w:iCs/>
          <w:sz w:val="20"/>
          <w:szCs w:val="20"/>
        </w:rPr>
      </w:pPr>
      <w:r w:rsidRPr="00256D1F">
        <w:rPr>
          <w:rFonts w:ascii="Times New Roman" w:hAnsi="Times New Roman" w:cs="Times New Roman"/>
          <w:i/>
          <w:iCs/>
          <w:sz w:val="20"/>
          <w:szCs w:val="20"/>
        </w:rPr>
        <w:t>számú táblázat</w:t>
      </w:r>
    </w:p>
    <w:tbl>
      <w:tblPr>
        <w:tblW w:w="9960" w:type="dxa"/>
        <w:tblInd w:w="-68" w:type="dxa"/>
        <w:tblCellMar>
          <w:left w:w="70" w:type="dxa"/>
          <w:right w:w="70" w:type="dxa"/>
        </w:tblCellMar>
        <w:tblLook w:val="00A0"/>
      </w:tblPr>
      <w:tblGrid>
        <w:gridCol w:w="2680"/>
        <w:gridCol w:w="3460"/>
        <w:gridCol w:w="2020"/>
        <w:gridCol w:w="1800"/>
      </w:tblGrid>
      <w:tr w:rsidR="00474B1C" w:rsidRPr="00FC0A19">
        <w:trPr>
          <w:trHeight w:val="615"/>
        </w:trPr>
        <w:tc>
          <w:tcPr>
            <w:tcW w:w="2680" w:type="dxa"/>
            <w:tcBorders>
              <w:top w:val="double" w:sz="6" w:space="0" w:color="auto"/>
              <w:left w:val="double" w:sz="6" w:space="0" w:color="auto"/>
              <w:bottom w:val="single" w:sz="4" w:space="0" w:color="auto"/>
              <w:right w:val="single" w:sz="4" w:space="0" w:color="auto"/>
            </w:tcBorders>
            <w:shd w:val="clear" w:color="000000" w:fill="BFBFBF"/>
            <w:vAlign w:val="bottom"/>
          </w:tcPr>
          <w:p w:rsidR="00474B1C" w:rsidRPr="00256D1F" w:rsidRDefault="00474B1C" w:rsidP="00360A4F">
            <w:pPr>
              <w:spacing w:after="0" w:line="240" w:lineRule="auto"/>
              <w:jc w:val="center"/>
              <w:rPr>
                <w:b/>
                <w:bCs/>
                <w:color w:val="000000"/>
                <w:lang w:eastAsia="hu-HU"/>
              </w:rPr>
            </w:pPr>
            <w:r w:rsidRPr="00256D1F">
              <w:rPr>
                <w:b/>
                <w:bCs/>
                <w:color w:val="000000"/>
                <w:lang w:eastAsia="hu-HU"/>
              </w:rPr>
              <w:t>Ingatlan megnevezése</w:t>
            </w:r>
          </w:p>
        </w:tc>
        <w:tc>
          <w:tcPr>
            <w:tcW w:w="3460" w:type="dxa"/>
            <w:tcBorders>
              <w:top w:val="double" w:sz="6" w:space="0" w:color="auto"/>
              <w:left w:val="nil"/>
              <w:bottom w:val="single" w:sz="4" w:space="0" w:color="auto"/>
              <w:right w:val="single" w:sz="4" w:space="0" w:color="auto"/>
            </w:tcBorders>
            <w:shd w:val="clear" w:color="000000" w:fill="BFBFBF"/>
            <w:vAlign w:val="bottom"/>
          </w:tcPr>
          <w:p w:rsidR="00474B1C" w:rsidRPr="00256D1F" w:rsidRDefault="00474B1C" w:rsidP="00360A4F">
            <w:pPr>
              <w:spacing w:after="0" w:line="240" w:lineRule="auto"/>
              <w:jc w:val="center"/>
              <w:rPr>
                <w:b/>
                <w:bCs/>
                <w:color w:val="000000"/>
                <w:lang w:eastAsia="hu-HU"/>
              </w:rPr>
            </w:pPr>
            <w:r w:rsidRPr="00256D1F">
              <w:rPr>
                <w:b/>
                <w:bCs/>
                <w:color w:val="000000"/>
                <w:lang w:eastAsia="hu-HU"/>
              </w:rPr>
              <w:t>Beruházás</w:t>
            </w:r>
          </w:p>
        </w:tc>
        <w:tc>
          <w:tcPr>
            <w:tcW w:w="2020" w:type="dxa"/>
            <w:tcBorders>
              <w:top w:val="double" w:sz="6" w:space="0" w:color="auto"/>
              <w:left w:val="nil"/>
              <w:bottom w:val="single" w:sz="4" w:space="0" w:color="auto"/>
              <w:right w:val="single" w:sz="4" w:space="0" w:color="auto"/>
            </w:tcBorders>
            <w:shd w:val="clear" w:color="000000" w:fill="BFBFBF"/>
            <w:vAlign w:val="bottom"/>
          </w:tcPr>
          <w:p w:rsidR="00474B1C" w:rsidRPr="00256D1F" w:rsidRDefault="00474B1C" w:rsidP="00360A4F">
            <w:pPr>
              <w:spacing w:after="0" w:line="240" w:lineRule="auto"/>
              <w:jc w:val="center"/>
              <w:rPr>
                <w:b/>
                <w:bCs/>
                <w:color w:val="000000"/>
                <w:lang w:eastAsia="hu-HU"/>
              </w:rPr>
            </w:pPr>
            <w:r w:rsidRPr="00256D1F">
              <w:rPr>
                <w:b/>
                <w:bCs/>
                <w:color w:val="000000"/>
                <w:lang w:eastAsia="hu-HU"/>
              </w:rPr>
              <w:t xml:space="preserve">Befejezett beruházás </w:t>
            </w:r>
          </w:p>
        </w:tc>
        <w:tc>
          <w:tcPr>
            <w:tcW w:w="1800" w:type="dxa"/>
            <w:tcBorders>
              <w:top w:val="double" w:sz="6" w:space="0" w:color="auto"/>
              <w:left w:val="nil"/>
              <w:bottom w:val="single" w:sz="4" w:space="0" w:color="auto"/>
              <w:right w:val="double" w:sz="6" w:space="0" w:color="auto"/>
            </w:tcBorders>
            <w:shd w:val="clear" w:color="000000" w:fill="BFBFBF"/>
            <w:vAlign w:val="bottom"/>
          </w:tcPr>
          <w:p w:rsidR="00474B1C" w:rsidRPr="00256D1F" w:rsidRDefault="00474B1C" w:rsidP="00360A4F">
            <w:pPr>
              <w:spacing w:after="0" w:line="240" w:lineRule="auto"/>
              <w:jc w:val="center"/>
              <w:rPr>
                <w:b/>
                <w:bCs/>
                <w:color w:val="000000"/>
                <w:lang w:eastAsia="hu-HU"/>
              </w:rPr>
            </w:pPr>
            <w:r w:rsidRPr="00256D1F">
              <w:rPr>
                <w:b/>
                <w:bCs/>
                <w:color w:val="000000"/>
                <w:lang w:eastAsia="hu-HU"/>
              </w:rPr>
              <w:t>Folyamatban lévő beruházás</w:t>
            </w:r>
          </w:p>
        </w:tc>
      </w:tr>
      <w:tr w:rsidR="00474B1C" w:rsidRPr="00FC0A19">
        <w:trPr>
          <w:trHeight w:val="300"/>
        </w:trPr>
        <w:tc>
          <w:tcPr>
            <w:tcW w:w="2680" w:type="dxa"/>
            <w:vMerge w:val="restart"/>
            <w:tcBorders>
              <w:top w:val="nil"/>
              <w:left w:val="double" w:sz="6" w:space="0" w:color="auto"/>
              <w:bottom w:val="single" w:sz="4" w:space="0" w:color="auto"/>
              <w:right w:val="single" w:sz="4" w:space="0" w:color="auto"/>
            </w:tcBorders>
            <w:vAlign w:val="center"/>
          </w:tcPr>
          <w:p w:rsidR="00474B1C" w:rsidRPr="00256D1F" w:rsidRDefault="00474B1C" w:rsidP="00360A4F">
            <w:pPr>
              <w:spacing w:after="0" w:line="240" w:lineRule="auto"/>
              <w:jc w:val="center"/>
              <w:rPr>
                <w:color w:val="000000"/>
                <w:lang w:eastAsia="hu-HU"/>
              </w:rPr>
            </w:pPr>
            <w:r w:rsidRPr="00256D1F">
              <w:rPr>
                <w:color w:val="000000"/>
                <w:lang w:eastAsia="hu-HU"/>
              </w:rPr>
              <w:t>Magyarság sportpálya</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Föld munkák, burkolat-építés</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44 186</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300"/>
        </w:trPr>
        <w:tc>
          <w:tcPr>
            <w:tcW w:w="2680" w:type="dxa"/>
            <w:vMerge/>
            <w:tcBorders>
              <w:top w:val="nil"/>
              <w:left w:val="double" w:sz="6" w:space="0" w:color="auto"/>
              <w:bottom w:val="single" w:sz="4" w:space="0" w:color="auto"/>
              <w:right w:val="single" w:sz="4" w:space="0" w:color="auto"/>
            </w:tcBorders>
            <w:vAlign w:val="center"/>
          </w:tcPr>
          <w:p w:rsidR="00474B1C" w:rsidRPr="00256D1F" w:rsidRDefault="00474B1C" w:rsidP="00360A4F">
            <w:pPr>
              <w:spacing w:after="0" w:line="240" w:lineRule="auto"/>
              <w:rPr>
                <w:color w:val="000000"/>
                <w:lang w:eastAsia="hu-HU"/>
              </w:rPr>
            </w:pP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Főépület rekonstrukciója</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63 035</w:t>
            </w:r>
          </w:p>
        </w:tc>
      </w:tr>
      <w:tr w:rsidR="00474B1C" w:rsidRPr="00FC0A19">
        <w:trPr>
          <w:trHeight w:val="300"/>
        </w:trPr>
        <w:tc>
          <w:tcPr>
            <w:tcW w:w="2680" w:type="dxa"/>
            <w:vMerge w:val="restart"/>
            <w:tcBorders>
              <w:top w:val="nil"/>
              <w:left w:val="double" w:sz="6" w:space="0" w:color="auto"/>
              <w:bottom w:val="single" w:sz="4" w:space="0" w:color="auto"/>
              <w:right w:val="single" w:sz="4" w:space="0" w:color="auto"/>
            </w:tcBorders>
            <w:vAlign w:val="center"/>
          </w:tcPr>
          <w:p w:rsidR="00474B1C" w:rsidRPr="00256D1F" w:rsidRDefault="00474B1C" w:rsidP="00360A4F">
            <w:pPr>
              <w:spacing w:after="0" w:line="240" w:lineRule="auto"/>
              <w:jc w:val="center"/>
              <w:rPr>
                <w:color w:val="000000"/>
                <w:lang w:eastAsia="hu-HU"/>
              </w:rPr>
            </w:pPr>
            <w:r w:rsidRPr="00256D1F">
              <w:rPr>
                <w:color w:val="000000"/>
                <w:lang w:eastAsia="hu-HU"/>
              </w:rPr>
              <w:t xml:space="preserve"> SZTK</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Tető-szerkezet javítása</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4 325</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600"/>
        </w:trPr>
        <w:tc>
          <w:tcPr>
            <w:tcW w:w="2680" w:type="dxa"/>
            <w:vMerge/>
            <w:tcBorders>
              <w:top w:val="nil"/>
              <w:left w:val="double" w:sz="6" w:space="0" w:color="auto"/>
              <w:bottom w:val="single" w:sz="4" w:space="0" w:color="auto"/>
              <w:right w:val="single" w:sz="4" w:space="0" w:color="auto"/>
            </w:tcBorders>
            <w:vAlign w:val="center"/>
          </w:tcPr>
          <w:p w:rsidR="00474B1C" w:rsidRPr="00256D1F" w:rsidRDefault="00474B1C" w:rsidP="00360A4F">
            <w:pPr>
              <w:spacing w:after="0" w:line="240" w:lineRule="auto"/>
              <w:rPr>
                <w:color w:val="000000"/>
                <w:lang w:eastAsia="hu-HU"/>
              </w:rPr>
            </w:pP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Fűtés-hűtési rendszer rekonstrukció</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104 682</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300"/>
        </w:trPr>
        <w:tc>
          <w:tcPr>
            <w:tcW w:w="2680" w:type="dxa"/>
            <w:tcBorders>
              <w:top w:val="nil"/>
              <w:left w:val="double" w:sz="6" w:space="0" w:color="auto"/>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xml:space="preserve"> Irodaház épület Vasút u 11</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Irodaház részleges felújítása</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31 414</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600"/>
        </w:trPr>
        <w:tc>
          <w:tcPr>
            <w:tcW w:w="2680" w:type="dxa"/>
            <w:tcBorders>
              <w:top w:val="nil"/>
              <w:left w:val="double" w:sz="6" w:space="0" w:color="auto"/>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József Attila Művelődési Kp</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Művelődési ház bővítése, felújítása</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312 779</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300"/>
        </w:trPr>
        <w:tc>
          <w:tcPr>
            <w:tcW w:w="2680" w:type="dxa"/>
            <w:tcBorders>
              <w:top w:val="nil"/>
              <w:left w:val="double" w:sz="6" w:space="0" w:color="auto"/>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Kajak klub</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Csónak tároló kivitelezési munkái</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32 426</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600"/>
        </w:trPr>
        <w:tc>
          <w:tcPr>
            <w:tcW w:w="2680" w:type="dxa"/>
            <w:tcBorders>
              <w:top w:val="nil"/>
              <w:left w:val="double" w:sz="6" w:space="0" w:color="auto"/>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Köztemető Fóti út</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Útépítési munkálatok, kolombárium építése</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40 066</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300"/>
        </w:trPr>
        <w:tc>
          <w:tcPr>
            <w:tcW w:w="2680" w:type="dxa"/>
            <w:tcBorders>
              <w:top w:val="nil"/>
              <w:left w:val="double" w:sz="6" w:space="0" w:color="auto"/>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Temető Gólya emlékmű</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Útépítés, rekonstrukció</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3 457</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r>
      <w:tr w:rsidR="00474B1C" w:rsidRPr="00FC0A19">
        <w:trPr>
          <w:trHeight w:val="300"/>
        </w:trPr>
        <w:tc>
          <w:tcPr>
            <w:tcW w:w="2680" w:type="dxa"/>
            <w:tcBorders>
              <w:top w:val="nil"/>
              <w:left w:val="double" w:sz="6" w:space="0" w:color="auto"/>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xml:space="preserve">Kinizsi sporttelep </w:t>
            </w:r>
          </w:p>
        </w:tc>
        <w:tc>
          <w:tcPr>
            <w:tcW w:w="346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Parkoló építése</w:t>
            </w:r>
          </w:p>
        </w:tc>
        <w:tc>
          <w:tcPr>
            <w:tcW w:w="2020" w:type="dxa"/>
            <w:tcBorders>
              <w:top w:val="nil"/>
              <w:left w:val="nil"/>
              <w:bottom w:val="single" w:sz="4" w:space="0" w:color="auto"/>
              <w:right w:val="single" w:sz="4"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 </w:t>
            </w:r>
          </w:p>
        </w:tc>
        <w:tc>
          <w:tcPr>
            <w:tcW w:w="1800" w:type="dxa"/>
            <w:tcBorders>
              <w:top w:val="nil"/>
              <w:left w:val="nil"/>
              <w:bottom w:val="single" w:sz="4" w:space="0" w:color="auto"/>
              <w:right w:val="double" w:sz="6" w:space="0" w:color="auto"/>
            </w:tcBorders>
            <w:vAlign w:val="bottom"/>
          </w:tcPr>
          <w:p w:rsidR="00474B1C" w:rsidRPr="00256D1F" w:rsidRDefault="00474B1C" w:rsidP="00360A4F">
            <w:pPr>
              <w:spacing w:after="0" w:line="240" w:lineRule="auto"/>
              <w:jc w:val="center"/>
              <w:rPr>
                <w:color w:val="000000"/>
                <w:lang w:eastAsia="hu-HU"/>
              </w:rPr>
            </w:pPr>
            <w:r w:rsidRPr="00256D1F">
              <w:rPr>
                <w:color w:val="000000"/>
                <w:lang w:eastAsia="hu-HU"/>
              </w:rPr>
              <w:t>6 083</w:t>
            </w:r>
          </w:p>
        </w:tc>
      </w:tr>
      <w:tr w:rsidR="00474B1C" w:rsidRPr="00FC0A19">
        <w:trPr>
          <w:trHeight w:val="315"/>
        </w:trPr>
        <w:tc>
          <w:tcPr>
            <w:tcW w:w="6140" w:type="dxa"/>
            <w:gridSpan w:val="2"/>
            <w:tcBorders>
              <w:top w:val="single" w:sz="4" w:space="0" w:color="auto"/>
              <w:left w:val="double" w:sz="6" w:space="0" w:color="auto"/>
              <w:bottom w:val="double" w:sz="6" w:space="0" w:color="auto"/>
              <w:right w:val="single" w:sz="4" w:space="0" w:color="000000"/>
            </w:tcBorders>
            <w:vAlign w:val="bottom"/>
          </w:tcPr>
          <w:p w:rsidR="00474B1C" w:rsidRPr="00256D1F" w:rsidRDefault="00474B1C" w:rsidP="00360A4F">
            <w:pPr>
              <w:spacing w:after="0" w:line="240" w:lineRule="auto"/>
              <w:jc w:val="center"/>
              <w:rPr>
                <w:b/>
                <w:bCs/>
                <w:color w:val="000000"/>
                <w:lang w:eastAsia="hu-HU"/>
              </w:rPr>
            </w:pPr>
            <w:r w:rsidRPr="00256D1F">
              <w:rPr>
                <w:b/>
                <w:bCs/>
                <w:color w:val="000000"/>
                <w:lang w:eastAsia="hu-HU"/>
              </w:rPr>
              <w:t>Összesen</w:t>
            </w:r>
          </w:p>
        </w:tc>
        <w:tc>
          <w:tcPr>
            <w:tcW w:w="2020" w:type="dxa"/>
            <w:tcBorders>
              <w:top w:val="nil"/>
              <w:left w:val="nil"/>
              <w:bottom w:val="double" w:sz="6" w:space="0" w:color="auto"/>
              <w:right w:val="single" w:sz="4" w:space="0" w:color="auto"/>
            </w:tcBorders>
            <w:vAlign w:val="bottom"/>
          </w:tcPr>
          <w:p w:rsidR="00474B1C" w:rsidRPr="00256D1F" w:rsidRDefault="00474B1C" w:rsidP="00360A4F">
            <w:pPr>
              <w:spacing w:after="0" w:line="240" w:lineRule="auto"/>
              <w:jc w:val="center"/>
              <w:rPr>
                <w:b/>
                <w:bCs/>
                <w:color w:val="000000"/>
                <w:lang w:eastAsia="hu-HU"/>
              </w:rPr>
            </w:pPr>
            <w:r w:rsidRPr="00256D1F">
              <w:rPr>
                <w:b/>
                <w:bCs/>
                <w:color w:val="000000"/>
                <w:lang w:eastAsia="hu-HU"/>
              </w:rPr>
              <w:t>573 335</w:t>
            </w:r>
          </w:p>
        </w:tc>
        <w:tc>
          <w:tcPr>
            <w:tcW w:w="1800" w:type="dxa"/>
            <w:tcBorders>
              <w:top w:val="nil"/>
              <w:left w:val="nil"/>
              <w:bottom w:val="double" w:sz="6" w:space="0" w:color="auto"/>
              <w:right w:val="double" w:sz="6" w:space="0" w:color="auto"/>
            </w:tcBorders>
            <w:vAlign w:val="bottom"/>
          </w:tcPr>
          <w:p w:rsidR="00474B1C" w:rsidRPr="00256D1F" w:rsidRDefault="00474B1C" w:rsidP="00360A4F">
            <w:pPr>
              <w:spacing w:after="0" w:line="240" w:lineRule="auto"/>
              <w:jc w:val="center"/>
              <w:rPr>
                <w:b/>
                <w:bCs/>
                <w:color w:val="000000"/>
                <w:lang w:eastAsia="hu-HU"/>
              </w:rPr>
            </w:pPr>
            <w:r w:rsidRPr="00256D1F">
              <w:rPr>
                <w:b/>
                <w:bCs/>
                <w:color w:val="000000"/>
                <w:lang w:eastAsia="hu-HU"/>
              </w:rPr>
              <w:t>69 118</w:t>
            </w:r>
          </w:p>
        </w:tc>
      </w:tr>
    </w:tbl>
    <w:p w:rsidR="00474B1C" w:rsidRPr="00256D1F" w:rsidRDefault="00474B1C" w:rsidP="001146AE">
      <w:pPr>
        <w:shd w:val="clear" w:color="auto" w:fill="FFFFFF"/>
        <w:spacing w:after="0" w:line="240" w:lineRule="auto"/>
        <w:ind w:left="360"/>
        <w:jc w:val="both"/>
        <w:rPr>
          <w:rFonts w:ascii="Times New Roman" w:hAnsi="Times New Roman" w:cs="Times New Roman"/>
          <w:b/>
          <w:bCs/>
          <w:sz w:val="24"/>
          <w:szCs w:val="24"/>
        </w:rPr>
      </w:pPr>
    </w:p>
    <w:p w:rsidR="00474B1C" w:rsidRPr="00256D1F" w:rsidRDefault="00474B1C" w:rsidP="001146AE">
      <w:pPr>
        <w:shd w:val="clear" w:color="auto" w:fill="FFFFFF"/>
        <w:spacing w:after="0" w:line="240" w:lineRule="auto"/>
        <w:ind w:left="360"/>
        <w:jc w:val="both"/>
        <w:rPr>
          <w:rFonts w:ascii="Times New Roman" w:hAnsi="Times New Roman" w:cs="Times New Roman"/>
          <w:sz w:val="24"/>
          <w:szCs w:val="24"/>
        </w:rPr>
      </w:pPr>
      <w:r w:rsidRPr="00256D1F">
        <w:rPr>
          <w:rFonts w:ascii="Times New Roman" w:hAnsi="Times New Roman" w:cs="Times New Roman"/>
          <w:sz w:val="24"/>
          <w:szCs w:val="24"/>
        </w:rPr>
        <w:t>A hasznosítható ingatlanok esetében sport-, művészeti-, közérdekű- és egyéb rendezvények tevékenységére helyiségeket adtunk bérbe különböző konstrukciókban. Jellemző tevékenységeink 2016. évben a következők voltak:</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iskolai tornatermek sport célú bérbeadása,</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sportolásra alkalmas helyiségek bérbeadása különböző telephelyeken (pl.: Vasút u. 11. irodaház, Harcművészeti központ, Magyarság Sporttelep,  stb.),</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rendezvényhelyiségek biztosítása különfél eseményekre (pl.: iskolák aulái, városi házasságkötő terem, Gyermeküdülő, stb.),</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sportpályák bérbeadása (pl.: Magyarság Sporttelep, Kinizsi pálya, Szép Ernő utcai műfű, Repülőtér, EPDM pályák,  stb.),</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városi reklámrendeletbe foglalt reklám és hirdető felületek bérbeadása (pl.: óriásplakátok, városi hirdető táblák, ideiglenes- és megállító táblák, stb.).</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társaság a saját tulajdonú, illetőleg a kezelésre üzemeltetésre átvett eszközök bérbeadásából 2016. évben összesen 144.783 E Ft árbevételt realizált.</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társaság a korábbi évek gyakorlatának megfelelően 2016. évben is elvégezte:</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tavaszi és őszi virágosítást,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 xml:space="preserve">A játszóterek üzemeltetését, folyamatos karbantartását, </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lastRenderedPageBreak/>
        <w:t>A közterületi árkok tisztítását,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Az utak kátyúzását,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parkok gondozását, az intenzív, fél intenzív, extenzív zöldfelület gondozást, fűkaszálást,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Utcabútorok telepítését és folyamatos karbantartását,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városi buszmegállók takarítását,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Fakivágásokat,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Folyamatos szemétszedést a közterületeken,</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közterületi szemetesek folyamatos ürítése,</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Falevélgyűjtést,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Az őszi faültetés keretében 322 db fa telepítését.</w:t>
      </w:r>
    </w:p>
    <w:p w:rsidR="00474B1C" w:rsidRPr="00256D1F" w:rsidRDefault="00474B1C" w:rsidP="001146AE">
      <w:pPr>
        <w:pStyle w:val="Listaszerbekezds"/>
        <w:numPr>
          <w:ilvl w:val="0"/>
          <w:numId w:val="7"/>
        </w:num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Gallyazás a közterületeken, illetve az űrszelvények vágása az utcákban.</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i/>
          <w:iCs/>
          <w:sz w:val="24"/>
          <w:szCs w:val="24"/>
        </w:rPr>
      </w:pPr>
      <w:r w:rsidRPr="00256D1F">
        <w:rPr>
          <w:rFonts w:ascii="Times New Roman" w:hAnsi="Times New Roman" w:cs="Times New Roman"/>
          <w:i/>
          <w:iCs/>
          <w:sz w:val="24"/>
          <w:szCs w:val="24"/>
        </w:rPr>
        <w:t>2.2. Pénzügyi és jövedelmezőségi helyzet értékelése</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 xml:space="preserve">A 2016. évi működés jövedelmezőségét vizsgálva megállapítható, hogy a társaság várható adózás előtti eredménye </w:t>
      </w:r>
      <w:r>
        <w:rPr>
          <w:rFonts w:ascii="Times New Roman" w:hAnsi="Times New Roman" w:cs="Times New Roman"/>
          <w:sz w:val="24"/>
          <w:szCs w:val="24"/>
        </w:rPr>
        <w:t>némiképpen</w:t>
      </w:r>
      <w:r w:rsidRPr="00256D1F">
        <w:rPr>
          <w:rFonts w:ascii="Times New Roman" w:hAnsi="Times New Roman" w:cs="Times New Roman"/>
          <w:sz w:val="24"/>
          <w:szCs w:val="24"/>
        </w:rPr>
        <w:t xml:space="preserve"> a korábbi év szintj</w:t>
      </w:r>
      <w:r>
        <w:rPr>
          <w:rFonts w:ascii="Times New Roman" w:hAnsi="Times New Roman" w:cs="Times New Roman"/>
          <w:sz w:val="24"/>
          <w:szCs w:val="24"/>
        </w:rPr>
        <w:t>e alatt</w:t>
      </w:r>
      <w:r w:rsidRPr="00256D1F">
        <w:rPr>
          <w:rFonts w:ascii="Times New Roman" w:hAnsi="Times New Roman" w:cs="Times New Roman"/>
          <w:sz w:val="24"/>
          <w:szCs w:val="24"/>
        </w:rPr>
        <w:t xml:space="preserve"> alakult (a </w:t>
      </w:r>
      <w:r>
        <w:rPr>
          <w:rFonts w:ascii="Times New Roman" w:hAnsi="Times New Roman" w:cs="Times New Roman"/>
          <w:sz w:val="24"/>
          <w:szCs w:val="24"/>
        </w:rPr>
        <w:t>286.356</w:t>
      </w:r>
      <w:r w:rsidRPr="00256D1F">
        <w:rPr>
          <w:rFonts w:ascii="Times New Roman" w:hAnsi="Times New Roman" w:cs="Times New Roman"/>
          <w:sz w:val="24"/>
          <w:szCs w:val="24"/>
        </w:rPr>
        <w:t xml:space="preserve"> E Ft veszteséget jelentő várható eredmény a 2015. évi 252.801 E Ft-os veszteséget </w:t>
      </w:r>
      <w:r>
        <w:rPr>
          <w:rFonts w:ascii="Times New Roman" w:hAnsi="Times New Roman" w:cs="Times New Roman"/>
          <w:sz w:val="24"/>
          <w:szCs w:val="24"/>
        </w:rPr>
        <w:t>33.555</w:t>
      </w:r>
      <w:r w:rsidRPr="00256D1F">
        <w:rPr>
          <w:rFonts w:ascii="Times New Roman" w:hAnsi="Times New Roman" w:cs="Times New Roman"/>
          <w:sz w:val="24"/>
          <w:szCs w:val="24"/>
        </w:rPr>
        <w:t xml:space="preserve"> E Ft-tal múlta alul). A korábbi évekhez hasonlóan 2016. évben is társaság a távhőszolgáltatási és a hulladékszolgáltatási</w:t>
      </w:r>
      <w:r>
        <w:rPr>
          <w:rFonts w:ascii="Times New Roman" w:hAnsi="Times New Roman" w:cs="Times New Roman"/>
          <w:sz w:val="24"/>
          <w:szCs w:val="24"/>
        </w:rPr>
        <w:t>, illetőleg a</w:t>
      </w:r>
      <w:r w:rsidRPr="00256D1F">
        <w:rPr>
          <w:rFonts w:ascii="Times New Roman" w:hAnsi="Times New Roman" w:cs="Times New Roman"/>
          <w:sz w:val="24"/>
          <w:szCs w:val="24"/>
        </w:rPr>
        <w:t xml:space="preserve"> temető-fenntartási közszolgáltatás</w:t>
      </w:r>
      <w:r>
        <w:rPr>
          <w:rFonts w:ascii="Times New Roman" w:hAnsi="Times New Roman" w:cs="Times New Roman"/>
          <w:sz w:val="24"/>
          <w:szCs w:val="24"/>
        </w:rPr>
        <w:t>i</w:t>
      </w:r>
      <w:r w:rsidRPr="00256D1F">
        <w:rPr>
          <w:rFonts w:ascii="Times New Roman" w:hAnsi="Times New Roman" w:cs="Times New Roman"/>
          <w:sz w:val="24"/>
          <w:szCs w:val="24"/>
        </w:rPr>
        <w:t xml:space="preserve"> tevékenysége</w:t>
      </w:r>
      <w:r>
        <w:rPr>
          <w:rFonts w:ascii="Times New Roman" w:hAnsi="Times New Roman" w:cs="Times New Roman"/>
          <w:sz w:val="24"/>
          <w:szCs w:val="24"/>
        </w:rPr>
        <w:t>ke</w:t>
      </w:r>
      <w:r w:rsidRPr="00256D1F">
        <w:rPr>
          <w:rFonts w:ascii="Times New Roman" w:hAnsi="Times New Roman" w:cs="Times New Roman"/>
          <w:sz w:val="24"/>
          <w:szCs w:val="24"/>
        </w:rPr>
        <w:t>n realizált nyereséget, míg a városüzemeltetési és vagyonkezelési tevékenység jellemzően veszteséges volt.</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2016. január 1-től a társaság és az Önkormányzat közötti új vagyonkezelési szerződés került megkötésre, amely alapján több ingatlan kikerült a társaság által vagyonkezelt eszközök köréből. Döntően a vagyonkezelési tevékenység szűkülése következtében a realizált árbevételek és az anyagjellegű ráfordítások értéke közel 190.000 E Ft-tal csökkent, a tárgyévi értékcsökkenési leírás pedig közel 70.000 E Ft-tal maradt el a 2015. évi összegtől. 2015. év végén a társaság vagyonkezelt ingatlanjain 2012-2015. évek között végzett beruházások értéke egy összegben került kiszámlázásra, ez a közel 900.000 E Ft-os tétel megnövelte a társaság egyéb bevételeit és ráfordításait. 2016. évben már kizárólag a tárgyévi beruházások kerültek kiszámlázásra, ennek összege 573.335 E Ft volt, így az egyéb bevételek és az egyéb ráfordítások tárgyévi értéke közel 300.000 E Ft-tal maradt el a 2015. évitől. A társaság a pénzügyi műveleteken (döntően a lekötött pénzeszközök kamataiból) továbbra is minimális, 1.000 E Ft-ot el nem érő nyereséget realizált.</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társaság feladatellátását a bázisévhez hasonló állományi létszámmal végezte, a 2016. évi átlagos statisztikai létszám 110 fő volt, az állományi létszám közel háromnegyedét (79 fő, 72%) a fizikai állomány tette ki. A 2016. évi személyi jellegű ráfordítások összege (460.381 E Ft) pedig a 2015. évi értéket 7,1%-al haladta meg.</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visszapótlási kötelezettségét jóval meghaladó beruházási volumen finanszírozásához a társaság 2016 szeptemberében a tulajdonos részéről 801.000 E Ft. összegű tőkejuttatásban részesült, amely a likviditás biztosításán túl hozzájárult a konzervatív finanszírozási stratégia fenntartásához, hiszen ezáltal a társaság tartós eszközei továbbra is tartós forrásokból kerülnek finanszírozására.</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r w:rsidRPr="00256D1F">
        <w:rPr>
          <w:rFonts w:ascii="Times New Roman" w:hAnsi="Times New Roman" w:cs="Times New Roman"/>
          <w:sz w:val="24"/>
          <w:szCs w:val="24"/>
        </w:rPr>
        <w:t>A pénzügyi helyzet stabilitása következtében a társaság sem forgóeszköz, sem beruházási hitel felvételére nem kényszerült, mi több, a tulajdonosi tőkeemelés összege a 2017. évi fejlesztések számára is forrást biztosít.</w:t>
      </w: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shd w:val="clear" w:color="auto" w:fill="FFFFFF"/>
        <w:spacing w:after="0" w:line="240" w:lineRule="auto"/>
        <w:jc w:val="both"/>
        <w:rPr>
          <w:rFonts w:ascii="Times New Roman" w:hAnsi="Times New Roman" w:cs="Times New Roman"/>
          <w:sz w:val="24"/>
          <w:szCs w:val="24"/>
        </w:rPr>
      </w:pPr>
    </w:p>
    <w:p w:rsidR="00474B1C" w:rsidRPr="00256D1F" w:rsidRDefault="00474B1C" w:rsidP="001146AE">
      <w:pPr>
        <w:rPr>
          <w:rFonts w:ascii="Times New Roman" w:hAnsi="Times New Roman" w:cs="Times New Roman"/>
          <w:b/>
          <w:bCs/>
          <w:sz w:val="28"/>
          <w:szCs w:val="28"/>
        </w:rPr>
      </w:pPr>
      <w:r w:rsidRPr="00256D1F">
        <w:rPr>
          <w:rFonts w:ascii="Times New Roman" w:hAnsi="Times New Roman" w:cs="Times New Roman"/>
          <w:b/>
          <w:bCs/>
          <w:sz w:val="28"/>
          <w:szCs w:val="28"/>
        </w:rPr>
        <w:br w:type="page"/>
      </w:r>
    </w:p>
    <w:p w:rsidR="00474B1C" w:rsidRPr="00256D1F" w:rsidRDefault="00474B1C" w:rsidP="001146AE">
      <w:pPr>
        <w:pStyle w:val="Listaszerbekezds"/>
        <w:numPr>
          <w:ilvl w:val="0"/>
          <w:numId w:val="1"/>
        </w:numPr>
        <w:jc w:val="center"/>
        <w:rPr>
          <w:rFonts w:ascii="Times New Roman" w:hAnsi="Times New Roman" w:cs="Times New Roman"/>
          <w:b/>
          <w:bCs/>
          <w:sz w:val="28"/>
          <w:szCs w:val="28"/>
        </w:rPr>
      </w:pPr>
      <w:r w:rsidRPr="00256D1F">
        <w:rPr>
          <w:rFonts w:ascii="Times New Roman" w:hAnsi="Times New Roman" w:cs="Times New Roman"/>
          <w:b/>
          <w:bCs/>
          <w:sz w:val="28"/>
          <w:szCs w:val="28"/>
        </w:rPr>
        <w:t>A működés várható feltételrendszere 2017-ben</w:t>
      </w:r>
    </w:p>
    <w:p w:rsidR="00474B1C" w:rsidRPr="00256D1F" w:rsidRDefault="00474B1C" w:rsidP="001146AE">
      <w:pPr>
        <w:pStyle w:val="Listaszerbekezds"/>
        <w:jc w:val="center"/>
        <w:rPr>
          <w:rFonts w:ascii="Times New Roman" w:hAnsi="Times New Roman" w:cs="Times New Roman"/>
          <w:b/>
          <w:bCs/>
          <w:sz w:val="28"/>
          <w:szCs w:val="28"/>
        </w:rPr>
      </w:pPr>
    </w:p>
    <w:p w:rsidR="00474B1C" w:rsidRPr="00256D1F" w:rsidRDefault="00474B1C" w:rsidP="001146AE">
      <w:pPr>
        <w:jc w:val="both"/>
        <w:rPr>
          <w:rFonts w:ascii="Times New Roman" w:hAnsi="Times New Roman" w:cs="Times New Roman"/>
          <w:sz w:val="24"/>
          <w:szCs w:val="24"/>
        </w:rPr>
      </w:pPr>
      <w:r w:rsidRPr="00256D1F">
        <w:rPr>
          <w:rFonts w:ascii="Times New Roman" w:hAnsi="Times New Roman" w:cs="Times New Roman"/>
          <w:sz w:val="24"/>
          <w:szCs w:val="24"/>
        </w:rPr>
        <w:t>A 2017. évi üzleti terv összeállításakor figyelembe vettük a társaságot érő makrogazdasági hatásokat, a feladatellátás ágazataiban bekövetkező változásokat, illetőleg tekintettel voltunk azokra a helyi sajátosságokra is, amelyek a társaság működési feltételeit és gazdálkodását jelentősebben érinthetik.</w:t>
      </w:r>
    </w:p>
    <w:p w:rsidR="00474B1C" w:rsidRPr="00256D1F" w:rsidRDefault="00474B1C" w:rsidP="001146AE">
      <w:pPr>
        <w:pStyle w:val="Listaszerbekezds"/>
        <w:numPr>
          <w:ilvl w:val="1"/>
          <w:numId w:val="1"/>
        </w:numPr>
        <w:rPr>
          <w:rFonts w:ascii="Times New Roman" w:hAnsi="Times New Roman" w:cs="Times New Roman"/>
          <w:b/>
          <w:bCs/>
          <w:sz w:val="24"/>
          <w:szCs w:val="24"/>
        </w:rPr>
      </w:pPr>
      <w:r w:rsidRPr="00256D1F">
        <w:rPr>
          <w:rFonts w:ascii="Times New Roman" w:hAnsi="Times New Roman" w:cs="Times New Roman"/>
          <w:b/>
          <w:bCs/>
          <w:sz w:val="24"/>
          <w:szCs w:val="24"/>
        </w:rPr>
        <w:t>Makro és mikrogazdasági hatások</w:t>
      </w:r>
    </w:p>
    <w:p w:rsidR="00474B1C" w:rsidRPr="00256D1F" w:rsidRDefault="00474B1C" w:rsidP="001146AE">
      <w:pPr>
        <w:jc w:val="both"/>
        <w:rPr>
          <w:rFonts w:ascii="Times New Roman" w:hAnsi="Times New Roman" w:cs="Times New Roman"/>
          <w:sz w:val="24"/>
          <w:szCs w:val="24"/>
        </w:rPr>
      </w:pPr>
      <w:r w:rsidRPr="00256D1F">
        <w:rPr>
          <w:rFonts w:ascii="Times New Roman" w:hAnsi="Times New Roman" w:cs="Times New Roman"/>
          <w:sz w:val="24"/>
          <w:szCs w:val="24"/>
        </w:rPr>
        <w:t xml:space="preserve">A Magyar Nemzeti Bank 2017. évre vonatkozó, 2016 decemberében nyilvánosságra hozott prognózisa alapján mind az infláció, mind a gazdasági növekedés üteme nő (0,4%-ról </w:t>
      </w:r>
      <w:r w:rsidRPr="00256D1F">
        <w:rPr>
          <w:rFonts w:ascii="Times New Roman" w:hAnsi="Times New Roman" w:cs="Times New Roman"/>
          <w:b/>
          <w:bCs/>
          <w:sz w:val="24"/>
          <w:szCs w:val="24"/>
        </w:rPr>
        <w:t>2,4%-ra,</w:t>
      </w:r>
      <w:r w:rsidRPr="00256D1F">
        <w:rPr>
          <w:rFonts w:ascii="Times New Roman" w:hAnsi="Times New Roman" w:cs="Times New Roman"/>
          <w:sz w:val="24"/>
          <w:szCs w:val="24"/>
        </w:rPr>
        <w:t xml:space="preserve"> illetőleg 2,8%-ról 3,6%-ra) 2017. évben a korábbi évhez viszonyítva. Az infláció növekményéhez nagyban hozzájárul, hogy a nemzetgazdasági </w:t>
      </w:r>
      <w:r w:rsidRPr="00256D1F">
        <w:rPr>
          <w:rFonts w:ascii="Times New Roman" w:hAnsi="Times New Roman" w:cs="Times New Roman"/>
          <w:b/>
          <w:bCs/>
          <w:sz w:val="24"/>
          <w:szCs w:val="24"/>
        </w:rPr>
        <w:t>bruttó átlagkeresetek</w:t>
      </w:r>
      <w:r w:rsidRPr="00256D1F">
        <w:rPr>
          <w:rFonts w:ascii="Times New Roman" w:hAnsi="Times New Roman" w:cs="Times New Roman"/>
          <w:sz w:val="24"/>
          <w:szCs w:val="24"/>
        </w:rPr>
        <w:t xml:space="preserve"> 2017. évben mintegy </w:t>
      </w:r>
      <w:r w:rsidRPr="00256D1F">
        <w:rPr>
          <w:rFonts w:ascii="Times New Roman" w:hAnsi="Times New Roman" w:cs="Times New Roman"/>
          <w:b/>
          <w:bCs/>
          <w:sz w:val="24"/>
          <w:szCs w:val="24"/>
        </w:rPr>
        <w:t>9%-al nőnek,</w:t>
      </w:r>
      <w:r w:rsidRPr="00256D1F">
        <w:rPr>
          <w:rFonts w:ascii="Times New Roman" w:hAnsi="Times New Roman" w:cs="Times New Roman"/>
          <w:sz w:val="24"/>
          <w:szCs w:val="24"/>
        </w:rPr>
        <w:t xml:space="preserve"> ezzel párhuzamosan a munkanélküliség 0,5%-ponttal 5,2%-ról 4,7%-ra csökken. A növekvő reáljövedelmek a lakossági fogyasztás, a gazdasági növekedés pedig a vállalati beruházások gyorsabb ütemű növekedéséhez járulhat hozzá.</w:t>
      </w:r>
    </w:p>
    <w:p w:rsidR="00474B1C" w:rsidRPr="00256D1F" w:rsidRDefault="00474B1C" w:rsidP="001146AE">
      <w:pPr>
        <w:jc w:val="both"/>
        <w:rPr>
          <w:rFonts w:ascii="Times New Roman" w:hAnsi="Times New Roman" w:cs="Times New Roman"/>
          <w:sz w:val="24"/>
          <w:szCs w:val="24"/>
        </w:rPr>
      </w:pPr>
      <w:r w:rsidRPr="00256D1F">
        <w:rPr>
          <w:rFonts w:ascii="Times New Roman" w:hAnsi="Times New Roman" w:cs="Times New Roman"/>
          <w:sz w:val="24"/>
          <w:szCs w:val="24"/>
        </w:rPr>
        <w:t>A magyar gazdaság makrogazdasági körülményeinek javulása – a társaság szolgáltatásait jellemzően igénybe vevő - Dunakeszi lakosságot természetesen eltérő módon és eltérő mértékben érinti, a szolgáltatások iránti fizetőképes kereslet mellett a társaság gazdálkodására legfontosabb partnerének, Dunakeszi Város Önkormányzatának gazdasági helyzete is jelentős hatást gyakorol.</w:t>
      </w:r>
    </w:p>
    <w:p w:rsidR="00474B1C" w:rsidRPr="00256D1F" w:rsidRDefault="00474B1C" w:rsidP="001146AE">
      <w:pPr>
        <w:jc w:val="both"/>
        <w:rPr>
          <w:rFonts w:ascii="Times New Roman" w:hAnsi="Times New Roman" w:cs="Times New Roman"/>
          <w:sz w:val="24"/>
          <w:szCs w:val="24"/>
        </w:rPr>
      </w:pPr>
      <w:r w:rsidRPr="00256D1F">
        <w:rPr>
          <w:rFonts w:ascii="Times New Roman" w:hAnsi="Times New Roman" w:cs="Times New Roman"/>
          <w:sz w:val="24"/>
          <w:szCs w:val="24"/>
        </w:rPr>
        <w:t xml:space="preserve">A társaság 2017. évi gazdálkodását legfőképpen a következő tényezők befolyásolják: </w:t>
      </w:r>
    </w:p>
    <w:p w:rsidR="00474B1C" w:rsidRPr="00256D1F" w:rsidRDefault="00474B1C" w:rsidP="001146AE">
      <w:pPr>
        <w:pStyle w:val="Listaszerbekezds"/>
        <w:jc w:val="both"/>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 xml:space="preserve">A hulladékszállítási ágazat esetében – a távhő-ágazathoz hasonlóan - a rezsicsökkentések értelmében az elmúlt években a közszolgáltatói díjat csökkenteni kellett, a szolgáltatói díjak emelésére azóta sem nyílt lehetőség. A hulladékszállítási ágazat finanszírozási szerkezete 2016. évben teljesen átalakult, hiszen 2016. április 1-jétől már nem a közszolgáltatók, hanem a Koordináló szerv (a gyakorlatban a </w:t>
      </w:r>
      <w:r w:rsidRPr="00256D1F">
        <w:rPr>
          <w:rFonts w:ascii="Times New Roman" w:hAnsi="Times New Roman" w:cs="Times New Roman"/>
          <w:b/>
          <w:bCs/>
          <w:sz w:val="24"/>
          <w:szCs w:val="24"/>
        </w:rPr>
        <w:t>Nemzeti Hulladékgazdálkodási Koordináló és Vagyonkezelő Társaság)</w:t>
      </w:r>
      <w:r w:rsidRPr="00256D1F">
        <w:rPr>
          <w:rFonts w:ascii="Times New Roman" w:hAnsi="Times New Roman" w:cs="Times New Roman"/>
          <w:sz w:val="24"/>
          <w:szCs w:val="24"/>
        </w:rPr>
        <w:t xml:space="preserve"> szedi be az ingatlanhasználóktól a közszolgáltatási díjakat. A közszolgáltatók, így a társaság számára a tevékenység végzésének ellenértékeként a Koordináló szerv fizet díjat, a díj összegére ható tényezőket egyébiránt jogszabály állapítja meg. A Koordináló szerv által fizetendő díj számítási módszere jellemzően naturális teljesítménymutatókon alapul, s független a tevékenység közvetlen költségeitől. Tekintettel arra, hogy 2016. évben még két különböző bevételi rendszer működött, bizonyos áthúzódó hatásokkal 2017. évben is számolni kell.</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lastRenderedPageBreak/>
        <w:t>A 2016. évhez hasonlóan 2017. április 1-jétől a hulladékszállítási ágazatot érintő újabb szervezeti változások várhatóak. A Koordináló Szerv a vele közvetlenül kapcsolatban álló gazdasági társaságok körét szűkíteni kívánja, ami az egyes hulladékgazdálkodók szervezett együttműködését, a feladatok regionális összehangolását igényelheti. A folyamat menetrendje és lépései az üzleti terv összeállításakor még nem ismertek, de a változások adott esetben komoly hatással is lehetnek az ágazat működésére és jövedelmezőségére is.</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Szintén a hulladékszállítási ágazat jövedelmezőségét érinti a 2016 decemberében bevezetett hulladék lerakói díj összege, amely havonta közel 20 millió Ft-os többletköltséget jelent a társaság számára. Mivel a Koordináló szerv által a társaságnak fizetett díj nem követi a költségszerkezet alakulását, a költségek növekményének bevételekkel történő fedezése közvetlenül nem megvalósítható, ez az ágazat jövedelmezőségét 2017. évben várhatóan jelentős mértékben rontani fogja.</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A távhő-ágazat esetében a korábbi évek rezsicsökkentései, a központi árszabályozás bevezetése jelentős hatással voltak a távhőszolgáltatásból realizált árbevételek alakulására. 2017. évben az árak változásával már nem számolunk, az árbevételek változása kizárólag mennyiségi okokból következhet be.</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A távhő-támogatás rendszerében szintén negatív irányú változások következtek be, 2015 október 1-től 2016 október 1-ig a lakosságnak nyújtott távhő után kapott fajlagos támogatás összege 578 Ft/GJ, a havi fix összegű támogatás mértéke 8.959.576 Ft/hó volt. 2016 október 1-től a fenti két érték 197 Ft/GJ-ra, valamint 7.876.593 Ft/hóra módosult. Az adatokból képzett 2016-os támogatás értéke összesen 140.472 E Ft volt. A 2017-es támogatás kalkulált értéke, amennyiben az év során a támogatás mértéke nem változik 111.269 E Ft-ra csökkent.</w:t>
      </w:r>
    </w:p>
    <w:p w:rsidR="00474B1C" w:rsidRPr="00256D1F" w:rsidRDefault="00474B1C" w:rsidP="001146AE">
      <w:pPr>
        <w:pStyle w:val="Listaszerbekezds"/>
        <w:jc w:val="both"/>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A Fűtőmű nyereséges működése nagyrészt a fent említett magas támogatási árnak volt köszönhető. Az 50/2011. (IX.30) NFM rendelet értelmében a távhőszolgáltató auditált éves beszámolójában szereplő a távhőtermelési és távhőszolgáltatási tevékenységéből származó adózás előtti eredménye nem haladhatja meg a tárgyévet megelőző év december 31-i, az auditált számviteli szétválasztás alapján az ezen tevékenységekre vonatkozó könyv szerinti bruttó eszközérték és a nyereségtényező szorzatának mértékét (a továbbiakban: nyereségkorlát). A távhőszolgáltató esetében a nyereségtényező 2 %.</w:t>
      </w:r>
    </w:p>
    <w:p w:rsidR="00474B1C" w:rsidRPr="00256D1F" w:rsidRDefault="00474B1C" w:rsidP="001146AE">
      <w:pPr>
        <w:pStyle w:val="Listaszerbekezds"/>
        <w:jc w:val="both"/>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lastRenderedPageBreak/>
        <w:t>A távhőszolgáltató köteles a nyereségkorlát feletti eredményét a távhőtermelés és távhőszolgáltatás energiahatékonyságát növelő, vagy költségének csökkentése érdekében felmerülő beruházásra fordítani a nyereségkorlát feletti eredmény keletkezését követő három éven belül a 2014-es év esetében, két éven belül a 2015-ös üzleti év esetében, amely beruházás megvalósulását a Magy Energetikai és Közmű-szabályozási Hivatal (MEKH) ellenőrzi. Ha a MEKH az ellenőrzés során azt állapítja meg, hogy a beruházás nem, vagy csak részben valósult meg, akkor a nyereségkorlát feletti eredmény beruházásra fel nem használt mértékét a soron következő árelőkészítés során mint indokolt költséget csökkentő tételt veszi figyelembe.</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A nyereségkorlát feletti részt cégünk idén távvezetéki fejlesztésre tervezi felhasználni, mely jelenleg tervezési fázisban van, nagysága a 2014, 2015 évben képződött céltartalék körüli összeg.</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 xml:space="preserve">A kintlévőségek alakulása évről évre tendenciaszerű, a likviditásra gyakorolt hatása lényeges befolyásoló tényezővé vált. A távhő tekintetében a vevői kintlévőségek összege 2015-ben 170.291 E Ft-ra nőtt, ez 13,7%-os növekedés jelent 2015-hez képest. Hasonló növekedési ütemre számítunk 2017-ben is. </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 xml:space="preserve">A </w:t>
      </w:r>
      <w:r w:rsidRPr="00256D1F">
        <w:rPr>
          <w:rFonts w:ascii="Times New Roman" w:hAnsi="Times New Roman" w:cs="Times New Roman"/>
          <w:b/>
          <w:bCs/>
          <w:sz w:val="24"/>
          <w:szCs w:val="24"/>
        </w:rPr>
        <w:t>vagyongazdálkodás</w:t>
      </w:r>
      <w:r w:rsidRPr="00256D1F">
        <w:rPr>
          <w:rFonts w:ascii="Times New Roman" w:hAnsi="Times New Roman" w:cs="Times New Roman"/>
          <w:sz w:val="24"/>
          <w:szCs w:val="24"/>
        </w:rPr>
        <w:t xml:space="preserve"> tekintetében 2016 évre vonatkozóan egy új </w:t>
      </w:r>
      <w:r w:rsidRPr="00256D1F">
        <w:rPr>
          <w:rFonts w:ascii="Times New Roman" w:hAnsi="Times New Roman" w:cs="Times New Roman"/>
          <w:b/>
          <w:bCs/>
          <w:sz w:val="24"/>
          <w:szCs w:val="24"/>
        </w:rPr>
        <w:t>vagyonkezelői szerződés</w:t>
      </w:r>
      <w:r w:rsidRPr="00256D1F">
        <w:rPr>
          <w:rFonts w:ascii="Times New Roman" w:hAnsi="Times New Roman" w:cs="Times New Roman"/>
          <w:sz w:val="24"/>
          <w:szCs w:val="24"/>
        </w:rPr>
        <w:t xml:space="preserve"> került aláírásra, tekintettel arra, hogy az elmúlt év elején Dunakeszi Önkormányzata és a Dunakeszi Közüzemi Nonprofit Kft. felülvizsgálta a vagyonkezeléssel érintett ingatlanok listáját. A vagyonkezelt ingatlanok körében jelentősebb változások 2017. évben nem következnek be, a kezelt vagyon értéke a tárgyévi beruházások aktiválása miatt fog növekedni.</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A vagyonkezelt eszközök tekintetében az eszközök amortizációjának megfelelő fejlesztések elvégzése a vagyonkezelési szerződésekből és a hatályos jogszabályokból fakadó előírás. A társaság a tulajdonos hozzájárulása és szándékai szerint az elmúlt években a visszapótlási kötelezettség összegét jelentősen meghaladó összegű beruházásokat hajtott végre a vagyonkezelt ingatlanok vonatkozásában. Terveink szerint ez a folyamat 2017. évben is érvényesül, a társaság által vagyonkezelt eszközök értéke növekedni fog.</w:t>
      </w:r>
    </w:p>
    <w:p w:rsidR="00474B1C" w:rsidRPr="00256D1F" w:rsidRDefault="00474B1C" w:rsidP="001146AE">
      <w:pPr>
        <w:pStyle w:val="Listaszerbekezds"/>
        <w:rPr>
          <w:rFonts w:ascii="Times New Roman" w:hAnsi="Times New Roman" w:cs="Times New Roman"/>
          <w:sz w:val="24"/>
          <w:szCs w:val="24"/>
        </w:rPr>
      </w:pPr>
    </w:p>
    <w:p w:rsidR="00474B1C" w:rsidRPr="00256D1F" w:rsidRDefault="00474B1C" w:rsidP="001146AE">
      <w:pPr>
        <w:pStyle w:val="Listaszerbekezds"/>
        <w:numPr>
          <w:ilvl w:val="0"/>
          <w:numId w:val="4"/>
        </w:numPr>
        <w:jc w:val="both"/>
        <w:rPr>
          <w:rFonts w:ascii="Times New Roman" w:hAnsi="Times New Roman" w:cs="Times New Roman"/>
          <w:sz w:val="24"/>
          <w:szCs w:val="24"/>
        </w:rPr>
      </w:pPr>
      <w:r w:rsidRPr="00256D1F">
        <w:rPr>
          <w:rFonts w:ascii="Times New Roman" w:hAnsi="Times New Roman" w:cs="Times New Roman"/>
          <w:sz w:val="24"/>
          <w:szCs w:val="24"/>
        </w:rPr>
        <w:t xml:space="preserve">A vagyongazdálkodás másik pilléréhez a vagyonkezelésben nem lévő önkormányzati tulajdonú ingatlanok működtetése és hasznosítása tartozik. 2017. január 1-től Dunakeszi városa nevelési-oktatási intézményeinek fenntartását, üzemeltetését a </w:t>
      </w:r>
      <w:r w:rsidRPr="00256D1F">
        <w:rPr>
          <w:rFonts w:ascii="Times New Roman" w:hAnsi="Times New Roman" w:cs="Times New Roman"/>
          <w:sz w:val="24"/>
          <w:szCs w:val="24"/>
        </w:rPr>
        <w:lastRenderedPageBreak/>
        <w:t>társaságtól a Tankerület vette át, így a létesítmény-üzemeltetési tevékenységünkben csökkenés következik be. Ez a csökkenés mind a foglalkoztatotti létszámban, mind a költségnemek és bevételek esetében is tetten érhető.</w:t>
      </w:r>
    </w:p>
    <w:p w:rsidR="00474B1C" w:rsidRDefault="00474B1C" w:rsidP="001146AE">
      <w:pPr>
        <w:pStyle w:val="Listaszerbekezds"/>
        <w:jc w:val="both"/>
        <w:rPr>
          <w:rFonts w:ascii="Times New Roman" w:hAnsi="Times New Roman" w:cs="Times New Roman"/>
          <w:sz w:val="24"/>
          <w:szCs w:val="24"/>
        </w:rPr>
      </w:pPr>
    </w:p>
    <w:p w:rsidR="00474B1C" w:rsidRDefault="00474B1C" w:rsidP="001146AE">
      <w:pPr>
        <w:rPr>
          <w:rFonts w:ascii="Times New Roman" w:hAnsi="Times New Roman" w:cs="Times New Roman"/>
          <w:b/>
          <w:bCs/>
          <w:sz w:val="28"/>
          <w:szCs w:val="28"/>
        </w:rPr>
      </w:pPr>
      <w:r>
        <w:rPr>
          <w:rFonts w:ascii="Times New Roman" w:hAnsi="Times New Roman" w:cs="Times New Roman"/>
          <w:b/>
          <w:bCs/>
          <w:sz w:val="28"/>
          <w:szCs w:val="28"/>
        </w:rPr>
        <w:br w:type="page"/>
      </w:r>
    </w:p>
    <w:p w:rsidR="00474B1C" w:rsidRDefault="00474B1C" w:rsidP="001146AE">
      <w:pPr>
        <w:pStyle w:val="Listaszerbekezds"/>
        <w:numPr>
          <w:ilvl w:val="0"/>
          <w:numId w:val="1"/>
        </w:numPr>
        <w:jc w:val="center"/>
        <w:rPr>
          <w:rFonts w:ascii="Times New Roman" w:hAnsi="Times New Roman" w:cs="Times New Roman"/>
          <w:b/>
          <w:bCs/>
          <w:sz w:val="28"/>
          <w:szCs w:val="28"/>
        </w:rPr>
      </w:pPr>
      <w:r w:rsidRPr="00702DAE">
        <w:rPr>
          <w:rFonts w:ascii="Times New Roman" w:hAnsi="Times New Roman" w:cs="Times New Roman"/>
          <w:b/>
          <w:bCs/>
          <w:sz w:val="28"/>
          <w:szCs w:val="28"/>
        </w:rPr>
        <w:t>Az egyes tevékenységek 2017. évi feladatai és célkitűzései</w:t>
      </w:r>
    </w:p>
    <w:p w:rsidR="00474B1C" w:rsidRDefault="00474B1C" w:rsidP="001146AE">
      <w:pPr>
        <w:pStyle w:val="Listaszerbekezds"/>
        <w:jc w:val="center"/>
        <w:rPr>
          <w:rFonts w:ascii="Times New Roman" w:hAnsi="Times New Roman" w:cs="Times New Roman"/>
          <w:b/>
          <w:bCs/>
          <w:sz w:val="28"/>
          <w:szCs w:val="28"/>
        </w:rPr>
      </w:pPr>
    </w:p>
    <w:p w:rsidR="00474B1C" w:rsidRDefault="00474B1C" w:rsidP="001146AE">
      <w:pPr>
        <w:pStyle w:val="Listaszerbekezds"/>
        <w:jc w:val="center"/>
        <w:rPr>
          <w:rFonts w:ascii="Times New Roman" w:hAnsi="Times New Roman" w:cs="Times New Roman"/>
          <w:b/>
          <w:bCs/>
          <w:sz w:val="28"/>
          <w:szCs w:val="28"/>
        </w:rPr>
      </w:pPr>
    </w:p>
    <w:p w:rsidR="00474B1C" w:rsidRPr="005A5C4B" w:rsidRDefault="00474B1C" w:rsidP="001146AE">
      <w:pPr>
        <w:pStyle w:val="Listaszerbekezds"/>
        <w:numPr>
          <w:ilvl w:val="1"/>
          <w:numId w:val="1"/>
        </w:numPr>
        <w:spacing w:after="0" w:line="240" w:lineRule="auto"/>
        <w:rPr>
          <w:rFonts w:ascii="Times New Roman" w:hAnsi="Times New Roman" w:cs="Times New Roman"/>
          <w:b/>
          <w:bCs/>
          <w:sz w:val="24"/>
          <w:szCs w:val="24"/>
        </w:rPr>
      </w:pPr>
      <w:r w:rsidRPr="005A5C4B">
        <w:rPr>
          <w:rFonts w:ascii="Times New Roman" w:hAnsi="Times New Roman" w:cs="Times New Roman"/>
          <w:b/>
          <w:bCs/>
          <w:sz w:val="24"/>
          <w:szCs w:val="24"/>
        </w:rPr>
        <w:t>Távhőszolgáltatás</w:t>
      </w:r>
      <w:r>
        <w:rPr>
          <w:rFonts w:ascii="Times New Roman" w:hAnsi="Times New Roman" w:cs="Times New Roman"/>
          <w:b/>
          <w:bCs/>
          <w:sz w:val="24"/>
          <w:szCs w:val="24"/>
        </w:rPr>
        <w:t xml:space="preserve"> 2017. évi terve</w:t>
      </w:r>
    </w:p>
    <w:p w:rsidR="00474B1C" w:rsidRDefault="00474B1C" w:rsidP="001146AE">
      <w:pPr>
        <w:spacing w:after="0" w:line="240" w:lineRule="auto"/>
        <w:rPr>
          <w:rFonts w:ascii="Times New Roman" w:hAnsi="Times New Roman" w:cs="Times New Roman"/>
          <w:b/>
          <w:bCs/>
          <w:sz w:val="24"/>
          <w:szCs w:val="24"/>
          <w:u w:val="single"/>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A távhőszolgáltatásra csatlakozó lakások száma 2017. január 1-jén 2.610 lakás és mintegy 63 közület volt, a közületek közé 58 vállalkozás, és 5 közintézmény tartozott. A Tallér utcában található fűtőmű a korszerű, energiatakarékos és jó műszaki állapotban lévő tüzelőberendezéseivel a lakásokat és közületeket folyamatos hőenergiával látja el. </w:t>
      </w:r>
    </w:p>
    <w:p w:rsidR="00474B1C" w:rsidRPr="00726F74" w:rsidRDefault="00474B1C" w:rsidP="001146AE">
      <w:pPr>
        <w:spacing w:after="0" w:line="240" w:lineRule="auto"/>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Az elmúlt évek fejlesztéseinek eredményeként, a KEOP 5.4.0 programban finanszírozott rekonstrukciós beruházásaink során az elöregedett</w:t>
      </w:r>
      <w:r w:rsidRPr="00726F74">
        <w:rPr>
          <w:rFonts w:ascii="Times New Roman" w:hAnsi="Times New Roman" w:cs="Times New Roman"/>
          <w:color w:val="FF0000"/>
          <w:sz w:val="24"/>
          <w:szCs w:val="24"/>
        </w:rPr>
        <w:t xml:space="preserve"> </w:t>
      </w:r>
      <w:r w:rsidRPr="00726F74">
        <w:rPr>
          <w:rFonts w:ascii="Times New Roman" w:hAnsi="Times New Roman" w:cs="Times New Roman"/>
          <w:sz w:val="24"/>
          <w:szCs w:val="24"/>
        </w:rPr>
        <w:t xml:space="preserve">távvezetéki rendszer elzáró szerelvényeinek cseréje megtörtént, ezzel párhuzamosan a Nyárfa közi kazánház lekapcsolódott a rendszerről, a központi Tallér úti kazánház felújítása, korszerűsítése hivatalosan lezárult.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2017-ben a társaság fő célja a fűtőmű üzemeltetésének további racionalizálása, illetőleg a városi távhő-vezetékek korszerűsítése. A fejlesztések forrásait a távhő-ágazaton a korábbi években realizált eredmény jelenti, amelynek felhasználása a jogszabályi előírások tükrében egyébiránt is indokolt lenne.</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i/>
          <w:iCs/>
          <w:sz w:val="24"/>
          <w:szCs w:val="24"/>
        </w:rPr>
      </w:pPr>
      <w:r w:rsidRPr="00726F74">
        <w:rPr>
          <w:rFonts w:ascii="Times New Roman" w:hAnsi="Times New Roman" w:cs="Times New Roman"/>
          <w:i/>
          <w:iCs/>
          <w:sz w:val="24"/>
          <w:szCs w:val="24"/>
        </w:rPr>
        <w:t>A működés költségeinek alakulása:</w:t>
      </w:r>
    </w:p>
    <w:p w:rsidR="00474B1C" w:rsidRPr="00726F74" w:rsidRDefault="00474B1C" w:rsidP="001146AE">
      <w:pPr>
        <w:spacing w:after="0" w:line="240" w:lineRule="auto"/>
        <w:jc w:val="both"/>
        <w:rPr>
          <w:rFonts w:ascii="Times New Roman" w:hAnsi="Times New Roman" w:cs="Times New Roman"/>
          <w:b/>
          <w:bCs/>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fűtőmű működését leginkább meghatározó szabadpiaci földgáz ára a 2017 januárjától 6.963 Ft/MWh lett, a költségtervezésnél ezzel az árral számoltunk egész évre vonatkozóan. A villamos energia ára a 2017 év során várhatóan 13,79 + KAT.</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víz és csatornadíj árában előreláthatólag nem történik változás 2017. évben.</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Az anyag jellegű szolgáltatások és egyéb költségek, ráfordítások tekintetében mindösszesen az infláció növelő hatásával kalkulálunk, terveink alapján a személyi jellegű ráfordítások együttes összege 4%-al növekszik, míg az éves értékcsökkenési leírás nem változik.</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i/>
          <w:iCs/>
          <w:sz w:val="24"/>
          <w:szCs w:val="24"/>
        </w:rPr>
      </w:pPr>
      <w:r w:rsidRPr="00726F74">
        <w:rPr>
          <w:rFonts w:ascii="Times New Roman" w:hAnsi="Times New Roman" w:cs="Times New Roman"/>
          <w:i/>
          <w:iCs/>
          <w:sz w:val="24"/>
          <w:szCs w:val="24"/>
        </w:rPr>
        <w:t>Bevételek alakulása:</w:t>
      </w:r>
    </w:p>
    <w:p w:rsidR="00474B1C" w:rsidRPr="00726F74" w:rsidRDefault="00474B1C" w:rsidP="001146AE">
      <w:pPr>
        <w:spacing w:after="0" w:line="240" w:lineRule="auto"/>
        <w:jc w:val="both"/>
        <w:rPr>
          <w:rFonts w:ascii="Times New Roman" w:hAnsi="Times New Roman" w:cs="Times New Roman"/>
          <w:b/>
          <w:bCs/>
          <w:sz w:val="24"/>
          <w:szCs w:val="24"/>
        </w:rPr>
      </w:pPr>
    </w:p>
    <w:p w:rsidR="00474B1C"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központi árszabályozás és a változatlan szolgáltatási volumen miatt a 2017-es üzleti év során előreláthatólag nem történik változás az árbevételek alakulásában. A jelenlegi információk alapján a 2017. évre kalkulált támogatás értéke 111.269. E Ft-ra csökken. Számításainkat az alábbi táblázatban foglaljuk össze:</w:t>
      </w:r>
    </w:p>
    <w:p w:rsidR="00474B1C" w:rsidRPr="005F7B5E" w:rsidRDefault="00474B1C" w:rsidP="001146AE">
      <w:pPr>
        <w:spacing w:after="0" w:line="240" w:lineRule="auto"/>
        <w:jc w:val="both"/>
        <w:rPr>
          <w:rFonts w:ascii="Times New Roman" w:hAnsi="Times New Roman" w:cs="Times New Roman"/>
          <w:sz w:val="24"/>
          <w:szCs w:val="24"/>
        </w:rPr>
      </w:pPr>
    </w:p>
    <w:p w:rsidR="00474B1C" w:rsidRPr="00F23FD4" w:rsidRDefault="00474B1C" w:rsidP="001146AE">
      <w:pPr>
        <w:spacing w:after="0" w:line="240" w:lineRule="auto"/>
        <w:jc w:val="both"/>
        <w:rPr>
          <w:rFonts w:ascii="Times New Roman" w:hAnsi="Times New Roman" w:cs="Times New Roman"/>
          <w:i/>
          <w:iCs/>
          <w:sz w:val="24"/>
          <w:szCs w:val="24"/>
        </w:rPr>
      </w:pPr>
      <w:r w:rsidRPr="00F23FD4">
        <w:rPr>
          <w:rFonts w:ascii="Times New Roman" w:hAnsi="Times New Roman" w:cs="Times New Roman"/>
          <w:i/>
          <w:iCs/>
          <w:sz w:val="24"/>
          <w:szCs w:val="24"/>
        </w:rPr>
        <w:t>Kintlévőségek alakulása:</w:t>
      </w: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Cégünk számlázási rendszerét a felmerülő igények mentén folyamatosan fejlesztettük, ezáltal könnyebben és gördülékenyebben követhetőek a fogyasztói kintlévőségek, a tartozások behajtása folyamatos. A kintlévőségi állomány kontroll alatt tartása egyik legfontosabb feladatunk. </w:t>
      </w:r>
    </w:p>
    <w:p w:rsidR="00474B1C" w:rsidRDefault="00474B1C" w:rsidP="001146AE">
      <w:pPr>
        <w:ind w:left="360"/>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A távhőszolgáltatásból származó bevételek alakulása mellett az ágazat kulcsproblémája a bevételek pénzügyi realizálása, ami legjobban a kintlévőségek alakulásában mutatkozik meg. Az elmúlt öt évre visszatekintve megállapítható, hogy kintlévőségeink 2011 és 2013 között folyamatosan emelkedtek, 2013. és 2014. években stagnálás volt jellemző, azonban 2015 és 2016.években újbóli növekedés tapasztalható,</w:t>
      </w:r>
      <w:r w:rsidRPr="00ED19F3">
        <w:rPr>
          <w:rFonts w:ascii="Times New Roman" w:hAnsi="Times New Roman" w:cs="Times New Roman"/>
          <w:sz w:val="24"/>
          <w:szCs w:val="24"/>
        </w:rPr>
        <w:t xml:space="preserve"> a </w:t>
      </w:r>
      <w:r>
        <w:rPr>
          <w:rFonts w:ascii="Times New Roman" w:hAnsi="Times New Roman" w:cs="Times New Roman"/>
          <w:sz w:val="24"/>
          <w:szCs w:val="24"/>
        </w:rPr>
        <w:t xml:space="preserve">2017. január 1-jei </w:t>
      </w:r>
      <w:r w:rsidRPr="00ED19F3">
        <w:rPr>
          <w:rFonts w:ascii="Times New Roman" w:hAnsi="Times New Roman" w:cs="Times New Roman"/>
          <w:sz w:val="24"/>
          <w:szCs w:val="24"/>
        </w:rPr>
        <w:t xml:space="preserve">hátralékos lista összesítője alapján, a </w:t>
      </w:r>
      <w:r w:rsidRPr="00460E38">
        <w:rPr>
          <w:rFonts w:ascii="Times New Roman" w:hAnsi="Times New Roman" w:cs="Times New Roman"/>
          <w:sz w:val="24"/>
          <w:szCs w:val="24"/>
        </w:rPr>
        <w:t xml:space="preserve">90 napon belüli lakossági kintlévőségeink összege </w:t>
      </w:r>
      <w:r>
        <w:rPr>
          <w:rFonts w:ascii="Times New Roman" w:hAnsi="Times New Roman" w:cs="Times New Roman"/>
          <w:sz w:val="24"/>
          <w:szCs w:val="24"/>
        </w:rPr>
        <w:t xml:space="preserve">24.865 E </w:t>
      </w:r>
      <w:r w:rsidRPr="00460E38">
        <w:rPr>
          <w:rFonts w:ascii="Times New Roman" w:hAnsi="Times New Roman" w:cs="Times New Roman"/>
          <w:sz w:val="24"/>
          <w:szCs w:val="24"/>
        </w:rPr>
        <w:t xml:space="preserve">Ft, a 90 napon túli lakossági kintlévőségeink összege </w:t>
      </w:r>
      <w:r>
        <w:rPr>
          <w:rFonts w:ascii="Times New Roman" w:hAnsi="Times New Roman" w:cs="Times New Roman"/>
          <w:sz w:val="24"/>
          <w:szCs w:val="24"/>
        </w:rPr>
        <w:t xml:space="preserve">135.426 E </w:t>
      </w:r>
      <w:r w:rsidRPr="00460E38">
        <w:rPr>
          <w:rFonts w:ascii="Times New Roman" w:hAnsi="Times New Roman" w:cs="Times New Roman"/>
          <w:sz w:val="24"/>
          <w:szCs w:val="24"/>
        </w:rPr>
        <w:t xml:space="preserve">Ft. </w:t>
      </w:r>
    </w:p>
    <w:p w:rsidR="00474B1C" w:rsidRPr="00ED19F3" w:rsidRDefault="00474B1C" w:rsidP="001146AE">
      <w:pPr>
        <w:spacing w:after="0" w:line="240" w:lineRule="auto"/>
        <w:jc w:val="both"/>
        <w:rPr>
          <w:rFonts w:ascii="Times New Roman" w:hAnsi="Times New Roman" w:cs="Times New Roman"/>
          <w:b/>
          <w:bCs/>
          <w:sz w:val="24"/>
          <w:szCs w:val="24"/>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kintlévőségi állomány emelkedési folyamata az időszak elején lassult, hiszen 2011-ről 2012-re még több mint 30%-os emelkedés volt tapasztalható, 2012-ről 2013-ra csupán 10%-os volt. 2013 év végéhez képest a 2014 év végi hátralék növekedése nem éri el az 1%-ot, 2015 év végére, pedig 2014 év végéhez képest is csupán 2,69% a növekedés, azonban a lejárt határidejű kintlévőségek állományában 2016. évben ismét 10% fölötti növekedés tapasztalható.</w:t>
      </w:r>
    </w:p>
    <w:p w:rsidR="00474B1C"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pStyle w:val="Listaszerbekezds"/>
        <w:numPr>
          <w:ilvl w:val="1"/>
          <w:numId w:val="11"/>
        </w:numPr>
        <w:spacing w:after="0" w:line="240" w:lineRule="auto"/>
        <w:rPr>
          <w:rFonts w:ascii="Times New Roman" w:hAnsi="Times New Roman" w:cs="Times New Roman"/>
          <w:b/>
          <w:bCs/>
          <w:sz w:val="24"/>
          <w:szCs w:val="24"/>
          <w:u w:val="single"/>
        </w:rPr>
      </w:pPr>
      <w:r w:rsidRPr="00726F74">
        <w:rPr>
          <w:rFonts w:ascii="Times New Roman" w:hAnsi="Times New Roman" w:cs="Times New Roman"/>
          <w:b/>
          <w:bCs/>
          <w:sz w:val="24"/>
          <w:szCs w:val="24"/>
          <w:u w:val="single"/>
        </w:rPr>
        <w:t>Hulladékszállítás, település tisztasági szolgáltatás, zöldfelület gondozás</w:t>
      </w:r>
    </w:p>
    <w:p w:rsidR="00474B1C" w:rsidRPr="00726F74" w:rsidRDefault="00474B1C" w:rsidP="001146AE">
      <w:pPr>
        <w:spacing w:after="0" w:line="240" w:lineRule="auto"/>
        <w:rPr>
          <w:rFonts w:ascii="Times New Roman" w:hAnsi="Times New Roman" w:cs="Times New Roman"/>
          <w:b/>
          <w:bCs/>
          <w:sz w:val="24"/>
          <w:szCs w:val="24"/>
          <w:u w:val="single"/>
        </w:rPr>
      </w:pPr>
    </w:p>
    <w:p w:rsidR="00474B1C" w:rsidRPr="00726F74" w:rsidRDefault="00474B1C" w:rsidP="001146AE">
      <w:pPr>
        <w:spacing w:after="0" w:line="240" w:lineRule="auto"/>
        <w:jc w:val="both"/>
        <w:rPr>
          <w:rFonts w:ascii="Times New Roman" w:hAnsi="Times New Roman" w:cs="Times New Roman"/>
          <w:b/>
          <w:bCs/>
          <w:sz w:val="24"/>
          <w:szCs w:val="24"/>
        </w:rPr>
      </w:pPr>
      <w:r w:rsidRPr="00726F74">
        <w:rPr>
          <w:rFonts w:ascii="Times New Roman" w:hAnsi="Times New Roman" w:cs="Times New Roman"/>
          <w:sz w:val="24"/>
          <w:szCs w:val="24"/>
        </w:rPr>
        <w:t xml:space="preserve">A társaság hulladékszállítási alapfeladata ellátása során 2017. január 1-jén </w:t>
      </w:r>
      <w:r w:rsidRPr="00726F74">
        <w:rPr>
          <w:rFonts w:ascii="Times New Roman" w:hAnsi="Times New Roman" w:cs="Times New Roman"/>
          <w:b/>
          <w:bCs/>
          <w:sz w:val="24"/>
          <w:szCs w:val="24"/>
        </w:rPr>
        <w:t>10.792 lakossági</w:t>
      </w:r>
      <w:r w:rsidRPr="00726F74">
        <w:rPr>
          <w:rFonts w:ascii="Times New Roman" w:hAnsi="Times New Roman" w:cs="Times New Roman"/>
          <w:sz w:val="24"/>
          <w:szCs w:val="24"/>
        </w:rPr>
        <w:t xml:space="preserve">, ebből 251 társasházi ügyféllel áll kapcsolatban, szerződéssel rendelkező </w:t>
      </w:r>
      <w:r w:rsidRPr="00726F74">
        <w:rPr>
          <w:rFonts w:ascii="Times New Roman" w:hAnsi="Times New Roman" w:cs="Times New Roman"/>
          <w:b/>
          <w:bCs/>
          <w:sz w:val="24"/>
          <w:szCs w:val="24"/>
        </w:rPr>
        <w:t xml:space="preserve">közületi ügyfeleink száma 411 volt.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hatályos magyar ágazati szabályozás értelmében 2014-től kizárólag nonprofit gazdasági társaság végezheti a szemétszállítási feladatok ellátását, és ennek díja teljes egészében arányos kell, hogy legyen az elvégzett munkával és az elszállított szemét mennyiségével. Társaságunk a törvényi előírásnak megfelelve 2013.10.24-től nonprofit formában folytatja tevékenységét. Az ágazat finanszírozási rendszere 2016. áprilisától fokozatosan átalakult, a lakosság a hulladékszállítási díjakat már nem a közszolgáltatóknak, hanem a Koordináló Szervként eljáró NHKV-nak fizeti meg, a Koordináló szerv pedig külön jogszabályban meghatározott mértékű díjat fizet a társaságnak. A rendszerre való átállás 2016. évben országosan is nehézségekbe ütközött, emiatt a társaság és a Koordináló Szerv között bérszámlázási megállapodás született a 2016. április 1. és 2017. március 31. közötti időszakra.</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Ez a köztes rendszer várhatóan 2017. év első felében kivezetésre kerül, a számlázási feladatok is átkerülnek a társaságtól az NHKV-hoz, a társaság közszolgáltatási tevékenysége azonban fennmarad.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b/>
          <w:bCs/>
          <w:sz w:val="24"/>
          <w:szCs w:val="24"/>
        </w:rPr>
      </w:pPr>
      <w:r w:rsidRPr="00726F74">
        <w:rPr>
          <w:rFonts w:ascii="Times New Roman" w:hAnsi="Times New Roman" w:cs="Times New Roman"/>
          <w:sz w:val="24"/>
          <w:szCs w:val="24"/>
        </w:rPr>
        <w:t>A számlázási rendszer változása pozitív hatással volt a kintlévőségek állományának változására. Azzal, hogy 2016. április 1. után a közszolgáltatás végzése során lakossági követelés nem keletkezik, a korábbi évek kintlévőség-állományából pedig folyamatosan történtek befizetések a hulladékágazatban lévő kintlévőségeink összege a 2016. január 1-i 29.687 E Ft-ról 13%-al 25.776 E Ft-ra csökkent</w:t>
      </w:r>
      <w:r w:rsidRPr="00726F74">
        <w:rPr>
          <w:rFonts w:ascii="Times New Roman" w:hAnsi="Times New Roman" w:cs="Times New Roman"/>
          <w:b/>
          <w:bCs/>
          <w:sz w:val="24"/>
          <w:szCs w:val="24"/>
        </w:rPr>
        <w:t>.</w:t>
      </w:r>
    </w:p>
    <w:p w:rsidR="00474B1C" w:rsidRPr="00726F74" w:rsidRDefault="00474B1C" w:rsidP="001146AE">
      <w:pPr>
        <w:spacing w:after="0" w:line="240" w:lineRule="auto"/>
        <w:jc w:val="both"/>
        <w:rPr>
          <w:rFonts w:ascii="Times New Roman" w:hAnsi="Times New Roman" w:cs="Times New Roman"/>
          <w:b/>
          <w:bCs/>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társaság tevékenységi rendszerében a hulladékszállítási és településtisztasági, gondozási tevékenységek szoros kölcsönhatásban működnek, így indokolt tárgyi és személyi feltételeiket együttesen kezelve bemutatni.</w:t>
      </w:r>
    </w:p>
    <w:p w:rsidR="00474B1C" w:rsidRPr="00726F74"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2017. évben arra számítunk, hogy hulladékszállítási, település-tisztasági tevékenységünk az integrált minőségirányítási rendszernek megfelelő előírások szerint történik. Rendszeres </w:t>
      </w:r>
      <w:r w:rsidRPr="00726F74">
        <w:rPr>
          <w:rFonts w:ascii="Times New Roman" w:hAnsi="Times New Roman" w:cs="Times New Roman"/>
          <w:sz w:val="24"/>
          <w:szCs w:val="24"/>
        </w:rPr>
        <w:lastRenderedPageBreak/>
        <w:t xml:space="preserve">felülvizsgálattal és ellenőrzéssel ebben az évben is 34 járműből álló tehergépjármű parkot üzemeltetünk.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pStyle w:val="Listaszerbekezds"/>
        <w:spacing w:after="0" w:line="240" w:lineRule="auto"/>
        <w:ind w:left="2977"/>
        <w:jc w:val="both"/>
        <w:rPr>
          <w:rFonts w:ascii="Times New Roman" w:hAnsi="Times New Roman" w:cs="Times New Roman"/>
          <w:sz w:val="24"/>
          <w:szCs w:val="24"/>
        </w:rPr>
      </w:pPr>
      <w:r w:rsidRPr="00726F74">
        <w:rPr>
          <w:rFonts w:ascii="Times New Roman" w:hAnsi="Times New Roman" w:cs="Times New Roman"/>
          <w:sz w:val="24"/>
          <w:szCs w:val="24"/>
        </w:rPr>
        <w:t>13 db kistehergépjármű</w:t>
      </w:r>
    </w:p>
    <w:p w:rsidR="00474B1C" w:rsidRPr="00726F74" w:rsidRDefault="00474B1C" w:rsidP="001146AE">
      <w:pPr>
        <w:pStyle w:val="Listaszerbekezds"/>
        <w:spacing w:after="0" w:line="240" w:lineRule="auto"/>
        <w:ind w:left="2977"/>
        <w:jc w:val="both"/>
        <w:rPr>
          <w:rFonts w:ascii="Times New Roman" w:hAnsi="Times New Roman" w:cs="Times New Roman"/>
          <w:sz w:val="24"/>
          <w:szCs w:val="24"/>
        </w:rPr>
      </w:pPr>
      <w:r w:rsidRPr="00726F74">
        <w:rPr>
          <w:rFonts w:ascii="Times New Roman" w:hAnsi="Times New Roman" w:cs="Times New Roman"/>
          <w:sz w:val="24"/>
          <w:szCs w:val="24"/>
        </w:rPr>
        <w:t>1 db traktor</w:t>
      </w:r>
    </w:p>
    <w:p w:rsidR="00474B1C" w:rsidRPr="00726F74" w:rsidRDefault="00474B1C" w:rsidP="001146AE">
      <w:pPr>
        <w:pStyle w:val="Listaszerbekezds"/>
        <w:spacing w:after="0" w:line="240" w:lineRule="auto"/>
        <w:ind w:left="2977"/>
        <w:jc w:val="both"/>
        <w:rPr>
          <w:rFonts w:ascii="Times New Roman" w:hAnsi="Times New Roman" w:cs="Times New Roman"/>
          <w:sz w:val="24"/>
          <w:szCs w:val="24"/>
        </w:rPr>
      </w:pPr>
      <w:r w:rsidRPr="00726F74">
        <w:rPr>
          <w:rFonts w:ascii="Times New Roman" w:hAnsi="Times New Roman" w:cs="Times New Roman"/>
          <w:sz w:val="24"/>
          <w:szCs w:val="24"/>
        </w:rPr>
        <w:t>2 db munkagép</w:t>
      </w:r>
    </w:p>
    <w:p w:rsidR="00474B1C" w:rsidRPr="00726F74" w:rsidRDefault="00474B1C" w:rsidP="001146AE">
      <w:pPr>
        <w:spacing w:after="0" w:line="240" w:lineRule="auto"/>
        <w:ind w:left="2977"/>
        <w:jc w:val="both"/>
        <w:rPr>
          <w:rFonts w:ascii="Times New Roman" w:hAnsi="Times New Roman" w:cs="Times New Roman"/>
          <w:sz w:val="24"/>
          <w:szCs w:val="24"/>
        </w:rPr>
      </w:pPr>
      <w:r w:rsidRPr="00726F74">
        <w:rPr>
          <w:rFonts w:ascii="Times New Roman" w:hAnsi="Times New Roman" w:cs="Times New Roman"/>
          <w:sz w:val="24"/>
          <w:szCs w:val="24"/>
        </w:rPr>
        <w:t>2 db seprűs gép</w:t>
      </w:r>
    </w:p>
    <w:p w:rsidR="00474B1C" w:rsidRPr="00726F74" w:rsidRDefault="00474B1C" w:rsidP="001146AE">
      <w:pPr>
        <w:spacing w:after="0" w:line="240" w:lineRule="auto"/>
        <w:ind w:left="2977"/>
        <w:jc w:val="both"/>
        <w:rPr>
          <w:rFonts w:ascii="Times New Roman" w:hAnsi="Times New Roman" w:cs="Times New Roman"/>
          <w:sz w:val="24"/>
          <w:szCs w:val="24"/>
        </w:rPr>
      </w:pPr>
      <w:r w:rsidRPr="00726F74">
        <w:rPr>
          <w:rFonts w:ascii="Times New Roman" w:hAnsi="Times New Roman" w:cs="Times New Roman"/>
          <w:sz w:val="24"/>
          <w:szCs w:val="24"/>
        </w:rPr>
        <w:t>1 db locsolóautó</w:t>
      </w:r>
    </w:p>
    <w:p w:rsidR="00474B1C" w:rsidRPr="00726F74" w:rsidRDefault="00474B1C" w:rsidP="001146AE">
      <w:pPr>
        <w:spacing w:after="0" w:line="240" w:lineRule="auto"/>
        <w:ind w:left="2977"/>
        <w:jc w:val="both"/>
        <w:rPr>
          <w:rFonts w:ascii="Times New Roman" w:hAnsi="Times New Roman" w:cs="Times New Roman"/>
          <w:sz w:val="24"/>
          <w:szCs w:val="24"/>
        </w:rPr>
      </w:pPr>
      <w:r w:rsidRPr="00726F74">
        <w:rPr>
          <w:rFonts w:ascii="Times New Roman" w:hAnsi="Times New Roman" w:cs="Times New Roman"/>
          <w:sz w:val="24"/>
          <w:szCs w:val="24"/>
        </w:rPr>
        <w:t>12 db 7,5 t feletti konténeres, platós és szemetes felépítménnyel ellátott tehergépjármű</w:t>
      </w:r>
    </w:p>
    <w:p w:rsidR="00474B1C" w:rsidRPr="00726F74" w:rsidRDefault="00474B1C" w:rsidP="001146AE">
      <w:pPr>
        <w:spacing w:after="0" w:line="240" w:lineRule="auto"/>
        <w:ind w:left="2977"/>
        <w:jc w:val="both"/>
        <w:rPr>
          <w:rFonts w:ascii="Times New Roman" w:hAnsi="Times New Roman" w:cs="Times New Roman"/>
          <w:sz w:val="24"/>
          <w:szCs w:val="24"/>
        </w:rPr>
      </w:pPr>
      <w:r w:rsidRPr="00726F74">
        <w:rPr>
          <w:rFonts w:ascii="Times New Roman" w:hAnsi="Times New Roman" w:cs="Times New Roman"/>
          <w:sz w:val="24"/>
          <w:szCs w:val="24"/>
        </w:rPr>
        <w:t>3 db autóbusz</w:t>
      </w:r>
    </w:p>
    <w:p w:rsidR="00474B1C" w:rsidRPr="00726F74" w:rsidRDefault="00474B1C" w:rsidP="001146AE">
      <w:pPr>
        <w:spacing w:after="0" w:line="240" w:lineRule="auto"/>
        <w:jc w:val="both"/>
        <w:rPr>
          <w:rFonts w:ascii="Times New Roman" w:hAnsi="Times New Roman" w:cs="Times New Roman"/>
          <w:i/>
          <w:iCs/>
          <w:sz w:val="24"/>
          <w:szCs w:val="24"/>
          <w:u w:val="single"/>
        </w:rPr>
      </w:pP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i/>
          <w:iCs/>
          <w:sz w:val="24"/>
          <w:szCs w:val="24"/>
        </w:rPr>
      </w:pPr>
      <w:r w:rsidRPr="00726F74">
        <w:rPr>
          <w:rFonts w:ascii="Times New Roman" w:hAnsi="Times New Roman" w:cs="Times New Roman"/>
          <w:i/>
          <w:iCs/>
          <w:sz w:val="24"/>
          <w:szCs w:val="24"/>
        </w:rPr>
        <w:t xml:space="preserve">Kommunális szemétszállítás: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Lakossági ügyfeleink elvárásait figyelembe véve a háztartási hulladékgyűjtéssel kapcsolatos szolgáltatásunk során törekszünk a maximális elégedettség fenntartására. A szolgáltatás biztonsága elsőszámú szempont működésünk során. Társaságunk 10.792 háztartásnál végez hulladékszállítással összefüggő közszolgáltatást, ami az eszközparkunk folyamatos műszaki színvonalának fejlesztését igényli. A háztartások feleslegessé vált használati tárgyai, keletkezett nagydarabos hulladékainak elszállítására, a lomtalanítási rendszerünk nyújt megoldást. Az elektronikus hulladékok, eseti- és építési hulladék zsákos gyűjtésének gyakorlata a szolgáltatás színvonalának további javulását, a működési költségek racionalizálást eredményezi. A városi közterületek tisztántartása is elsődleges cégünk számára, hogy Dunakeszi lakossága tiszta, rendezett környezetben élhessen.</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i/>
          <w:iCs/>
          <w:sz w:val="24"/>
          <w:szCs w:val="24"/>
        </w:rPr>
      </w:pPr>
      <w:r w:rsidRPr="00726F74">
        <w:rPr>
          <w:rFonts w:ascii="Times New Roman" w:hAnsi="Times New Roman" w:cs="Times New Roman"/>
          <w:i/>
          <w:iCs/>
          <w:sz w:val="24"/>
          <w:szCs w:val="24"/>
        </w:rPr>
        <w:t>Szelektív hulladékgyűjtés</w:t>
      </w:r>
    </w:p>
    <w:p w:rsidR="00474B1C" w:rsidRPr="00726F74" w:rsidRDefault="00474B1C" w:rsidP="001146AE">
      <w:pPr>
        <w:spacing w:after="0" w:line="240" w:lineRule="auto"/>
        <w:jc w:val="both"/>
        <w:rPr>
          <w:rFonts w:ascii="Times New Roman" w:hAnsi="Times New Roman" w:cs="Times New Roman"/>
          <w:b/>
          <w:bCs/>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Kiemelt figyelmet fordítunk arra, hogy lakossági ügyfeleink számára biztosítsuk a szelektív hulladékgyűjtés lehetőségét. Szeretnénk elősegíteni azt a célt, hogy csökkenjen a hulladék okozta környezetterhelés, valamint ezzel párhuzamosan növeljük az újrahasznosítás arányát. Tapasztalataink alapján a szelektív hulladékgyűjtés az elmúlt esztendőben némiképpen romlott. Gyakorivá vált, hogy az összegyűjtött hulladékot ellopják, a gyűjtőszigeteken lomot, vegyes hulladékot helyeznek el.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hasznosított szelektív hulladék mennyisége némiképpen csökkent, annak ellenére is, hogy a lakosság többsége rendszeresen, többségében fegyelmezetten használja a szelektív hulladékgyűjtő szigeteket. Néhány gyűjtősziget terhelése drasztikusan megnőtt, az ellátott terület nagysága, illetve kiemelt közlekedési útvonalhoz való közelsége miatt.</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Az Országos Környezetvédelmi és Természetvédelmi Főfelügyelőség Nemzeti Hulladékgazdálkodási Igazgatósággal (OKTF NHI) kötött szerződésünk alapján a korábbi évekhez hasonló nagyságrendű termékdíj támogatást hívtunk le 2017-ben, de a havi bevallások sorozatos hiánypótlásra történő visszaküldése időleges likviditási helyzetromlást idézett elő.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Kiemelt célunk továbbá a hulladék szerves anyag csökkentése, mivel a hulladék szerves anyag tartalmának bomlása következtében nagymértékben nő az üvegházhatású gázok </w:t>
      </w:r>
      <w:r w:rsidRPr="00726F74">
        <w:rPr>
          <w:rFonts w:ascii="Times New Roman" w:hAnsi="Times New Roman" w:cs="Times New Roman"/>
          <w:sz w:val="24"/>
          <w:szCs w:val="24"/>
        </w:rPr>
        <w:lastRenderedPageBreak/>
        <w:t>mennyisége a légkörben. Ezért 2017-ben is kiemelt szerepet kap a zöldhulladékok házhoz menő szelektív gyűjtése a zöldövezetes területeken.</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2017-ben folytatódik a szelektíven gyűjthető könnyű hulladék frakciók (papír, műanyag, fém) zsákos rendszerű házhoz menő gyűjtése. Először a Toldi-Dombliget lakóparkban került bevezetésre, de folyamatosan kiterjesztjük a város egyéb területeire is. Ebből adódóan 26 gyűjtőszigetet üzemeltetünk továbbra is város szerte, 7 helyen marad az összes frakció gyűjtése, a többi 16 szigeten már csak az üveget gyűjtjük.</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i/>
          <w:iCs/>
          <w:sz w:val="24"/>
          <w:szCs w:val="24"/>
        </w:rPr>
      </w:pPr>
      <w:r w:rsidRPr="00726F74">
        <w:rPr>
          <w:rFonts w:ascii="Times New Roman" w:hAnsi="Times New Roman" w:cs="Times New Roman"/>
          <w:i/>
          <w:iCs/>
          <w:sz w:val="24"/>
          <w:szCs w:val="24"/>
        </w:rPr>
        <w:t>Konténeres szállítás</w:t>
      </w:r>
    </w:p>
    <w:p w:rsidR="00474B1C" w:rsidRPr="00726F74" w:rsidRDefault="00474B1C" w:rsidP="001146AE">
      <w:pPr>
        <w:spacing w:after="0" w:line="240" w:lineRule="auto"/>
        <w:jc w:val="both"/>
        <w:rPr>
          <w:rFonts w:ascii="Times New Roman" w:hAnsi="Times New Roman" w:cs="Times New Roman"/>
          <w:b/>
          <w:bCs/>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Ügyfeleink számára lehetőség van társaságuknál konténer rendelésére, abban az esetben, ha lakóingatlanukon az építkezések, lakásfelújítások során nagyobb mennyiségű építési hulladékuk keletkezne. Hiszen, ezen hulladékok nem helyezhetőek el a hulladékgyűjtő edényekben, valamint a lomtalanításkor sem rakhatók ki.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A Közüzemi Nonprofit Kft. árbevételének alakulásában a közületi konténerszállítási megrendelések terén kisebb ütemű emelkedés mutatkozik. Ugyan még mindig nagy számban tevékenykednek magánvállalkozók, akik olcsóbb szolgáltatási és lerakási díjat tudnak a megrendelők számára kínálni.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i/>
          <w:iCs/>
          <w:sz w:val="24"/>
          <w:szCs w:val="24"/>
        </w:rPr>
      </w:pPr>
      <w:r w:rsidRPr="00726F74">
        <w:rPr>
          <w:rFonts w:ascii="Times New Roman" w:hAnsi="Times New Roman" w:cs="Times New Roman"/>
          <w:i/>
          <w:iCs/>
          <w:sz w:val="24"/>
          <w:szCs w:val="24"/>
        </w:rPr>
        <w:t>Ingatlanhasznosítás</w:t>
      </w:r>
    </w:p>
    <w:p w:rsidR="00474B1C" w:rsidRPr="00726F74" w:rsidRDefault="00474B1C" w:rsidP="001146AE">
      <w:pPr>
        <w:spacing w:after="0" w:line="240" w:lineRule="auto"/>
        <w:jc w:val="both"/>
        <w:rPr>
          <w:rFonts w:ascii="Times New Roman" w:hAnsi="Times New Roman" w:cs="Times New Roman"/>
          <w:b/>
          <w:bCs/>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Cégünk 2016 során irodáit, csarnokait és üzlethelységeit alacsonyabb kihasználtsággal adta bérbe, több jelentős bérlőnk felmondta a szerződését, a megmaradó bérlők terheit a 2017-es év során nem tervezzük növelni, a gyenge kereslet a bérleti díjak negatív korrekcióját hozhatja.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A bérleti díjak bevételekből telephelyünk energiaellátásának, ezen belül elsősorban a fűtési rendszer racionalizálására kell 2017. évben jelentősebb összegeket fordítani.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i/>
          <w:iCs/>
          <w:sz w:val="24"/>
          <w:szCs w:val="24"/>
        </w:rPr>
      </w:pPr>
      <w:r w:rsidRPr="00726F74">
        <w:rPr>
          <w:rFonts w:ascii="Times New Roman" w:hAnsi="Times New Roman" w:cs="Times New Roman"/>
          <w:i/>
          <w:iCs/>
          <w:sz w:val="24"/>
          <w:szCs w:val="24"/>
        </w:rPr>
        <w:t>Városüzemeltetési feladatok:</w:t>
      </w:r>
    </w:p>
    <w:p w:rsidR="00474B1C" w:rsidRPr="00726F74" w:rsidRDefault="00474B1C" w:rsidP="001146AE">
      <w:pPr>
        <w:spacing w:after="0" w:line="240" w:lineRule="auto"/>
        <w:jc w:val="both"/>
        <w:rPr>
          <w:rFonts w:ascii="Times New Roman" w:hAnsi="Times New Roman" w:cs="Times New Roman"/>
          <w:b/>
          <w:bCs/>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A kölcsönös előnyök mentén a Dunakeszi Közüzemi Nonprofit Kft. továbbra is Dunakeszi Város Önkormányzatát tekinti legfontosabb megrendelőjének, partnerének.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Minden olyan feladatot elvégzünk, melynek a költségvetésben biztosítva van a fedezete, azonban az eredményes munkavégzés érdekében olyan szolgáltatási árat szükséges alkalmazni mely nem csupán a közvetlen költségeket fedezi, hanem -. tekintettel a szervezéssel járó és megnövekedett adminisztrációs költségekre is – fedezetet nyújt az üzemi általános költségek arányos hányadára is.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Az átadott városüzemeltetési feladatok ellátása körében 2017-ben a külterületi extenzív, a belterületi intenzív zöldfelületek gondozására az éves szerződések megkötését tervezzük. A virágágyások gondozását saját alkalmazottainkkal végezzük. </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b/>
          <w:bCs/>
          <w:sz w:val="24"/>
          <w:szCs w:val="24"/>
          <w:u w:val="single"/>
        </w:rPr>
      </w:pPr>
      <w:r w:rsidRPr="00726F74">
        <w:rPr>
          <w:rFonts w:ascii="Times New Roman" w:hAnsi="Times New Roman" w:cs="Times New Roman"/>
          <w:b/>
          <w:bCs/>
          <w:sz w:val="24"/>
          <w:szCs w:val="24"/>
          <w:u w:val="single"/>
        </w:rPr>
        <w:t>4.3. Temető üzemeltetése</w:t>
      </w:r>
    </w:p>
    <w:p w:rsidR="00474B1C" w:rsidRPr="00726F74" w:rsidRDefault="00474B1C" w:rsidP="001146AE">
      <w:pPr>
        <w:spacing w:after="0" w:line="240" w:lineRule="auto"/>
        <w:jc w:val="both"/>
        <w:rPr>
          <w:rFonts w:ascii="Times New Roman" w:hAnsi="Times New Roman" w:cs="Times New Roman"/>
          <w:b/>
          <w:bCs/>
          <w:sz w:val="24"/>
          <w:szCs w:val="24"/>
          <w:u w:val="single"/>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lastRenderedPageBreak/>
        <w:t>Dunakeszi város köztemetőinek fenntartása, üzemeltetése a Dunakeszi Közüzemi Nonprofit Kft. feladata 2011-től. 2012-es gazdasági év volt az első teljes év, melynek során a Kft. a Városi Temető üzemeltetését összevont cégként végezte. A temető fenntartási díjait az Önkormányzat több évi késedelem után a valós költségszinthez igazította, 2013-as évtől már ezen díjak voltak érvényben. A 2017-es év során nem tervezzük növelni az alkalmazott díjtételeket.</w:t>
      </w:r>
    </w:p>
    <w:p w:rsidR="00474B1C" w:rsidRPr="00726F74" w:rsidRDefault="00474B1C" w:rsidP="001146AE">
      <w:pPr>
        <w:spacing w:after="0" w:line="240" w:lineRule="auto"/>
        <w:jc w:val="both"/>
        <w:rPr>
          <w:rFonts w:ascii="Times New Roman" w:hAnsi="Times New Roman" w:cs="Times New Roman"/>
          <w:sz w:val="24"/>
          <w:szCs w:val="24"/>
        </w:rPr>
      </w:pP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2015-ös év során bevezetésre került a temetői digitális nyilvántartó rendszer, a nyilvántartott adatok ellenőrzése, pontosítása, rögzítése a 2016-os év során befejeződött. Az új rendszer megkönnyíti munkákat, a nyilvántartás ennek köszönhetően pontosabb, könnyebben nyomon követhető és hatékonyabb lesz a jövőben.</w:t>
      </w:r>
    </w:p>
    <w:p w:rsidR="00474B1C" w:rsidRPr="00726F74" w:rsidRDefault="00474B1C" w:rsidP="001146AE">
      <w:pPr>
        <w:spacing w:after="0" w:line="240" w:lineRule="auto"/>
        <w:rPr>
          <w:rFonts w:ascii="Times New Roman" w:hAnsi="Times New Roman" w:cs="Times New Roman"/>
          <w:sz w:val="24"/>
          <w:szCs w:val="24"/>
        </w:rPr>
      </w:pPr>
    </w:p>
    <w:p w:rsidR="00474B1C" w:rsidRPr="00726F74" w:rsidRDefault="00474B1C" w:rsidP="001146AE">
      <w:pPr>
        <w:spacing w:after="0" w:line="240" w:lineRule="auto"/>
        <w:rPr>
          <w:rFonts w:ascii="Times New Roman" w:hAnsi="Times New Roman" w:cs="Times New Roman"/>
          <w:b/>
          <w:bCs/>
          <w:sz w:val="24"/>
          <w:szCs w:val="24"/>
          <w:u w:val="single"/>
        </w:rPr>
      </w:pPr>
      <w:r w:rsidRPr="00726F74">
        <w:rPr>
          <w:rFonts w:ascii="Times New Roman" w:hAnsi="Times New Roman" w:cs="Times New Roman"/>
          <w:b/>
          <w:bCs/>
          <w:sz w:val="24"/>
          <w:szCs w:val="24"/>
          <w:u w:val="single"/>
        </w:rPr>
        <w:t>4.4. Reklámgazdai tevékenység</w:t>
      </w:r>
    </w:p>
    <w:p w:rsidR="00474B1C" w:rsidRPr="00726F74" w:rsidRDefault="00474B1C" w:rsidP="001146AE">
      <w:pPr>
        <w:spacing w:after="0" w:line="240" w:lineRule="auto"/>
        <w:rPr>
          <w:rFonts w:ascii="Times New Roman" w:hAnsi="Times New Roman" w:cs="Times New Roman"/>
          <w:b/>
          <w:bCs/>
          <w:sz w:val="24"/>
          <w:szCs w:val="24"/>
          <w:u w:val="single"/>
        </w:rPr>
      </w:pPr>
    </w:p>
    <w:p w:rsidR="00474B1C"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 xml:space="preserve">Folyamatos ellenőrzésünk alatt van a még fennmaradt engedély nélküli hirdetmények, reklámhordozók elbontásával kapcsolatos teendők ellátása. A 2017-es év során cégünk az önkormányzati reklámrendeletben meghatározott egységes reklámhordozók telepítését, a rendszer kiépítését – a helyi vállalkozások érdekében - folyamatosan bővíti. </w:t>
      </w:r>
      <w:r>
        <w:rPr>
          <w:rFonts w:ascii="Times New Roman" w:hAnsi="Times New Roman" w:cs="Times New Roman"/>
          <w:sz w:val="24"/>
          <w:szCs w:val="24"/>
        </w:rPr>
        <w:t>Változtatást javasolunk az óriásplakát rendszer üzemeltetésében: egyrészről bővíteni kívánjuk a városi kommunikációra fordítható felületek számát, másrészről több lehetőséget kívánunk biztosítani a helyi vállalkozások számára, továbbá javasoljuk megemelni a reklámrendeletben maximált hirdetési felületek számát és bérleti díját.</w:t>
      </w:r>
    </w:p>
    <w:p w:rsidR="00474B1C" w:rsidRDefault="00474B1C" w:rsidP="001146AE">
      <w:pPr>
        <w:spacing w:after="0" w:line="240" w:lineRule="auto"/>
        <w:jc w:val="both"/>
        <w:rPr>
          <w:rFonts w:ascii="Times New Roman" w:hAnsi="Times New Roman" w:cs="Times New Roman"/>
          <w:b/>
          <w:bCs/>
          <w:sz w:val="24"/>
          <w:szCs w:val="24"/>
          <w:u w:val="single"/>
        </w:rPr>
      </w:pPr>
    </w:p>
    <w:p w:rsidR="00474B1C" w:rsidRPr="00026777"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b/>
          <w:bCs/>
          <w:sz w:val="24"/>
          <w:szCs w:val="24"/>
          <w:u w:val="single"/>
        </w:rPr>
        <w:t>4.5 Repülőtér üzemeltetés</w:t>
      </w:r>
    </w:p>
    <w:p w:rsidR="00474B1C" w:rsidRPr="00726F74" w:rsidRDefault="00474B1C" w:rsidP="001146AE">
      <w:pPr>
        <w:spacing w:after="0" w:line="240" w:lineRule="auto"/>
        <w:jc w:val="both"/>
        <w:rPr>
          <w:rFonts w:ascii="Times New Roman" w:hAnsi="Times New Roman" w:cs="Times New Roman"/>
          <w:b/>
          <w:bCs/>
          <w:sz w:val="24"/>
          <w:szCs w:val="24"/>
          <w:u w:val="single"/>
        </w:rPr>
      </w:pPr>
    </w:p>
    <w:p w:rsidR="00474B1C"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A repülőtér üzemeltetés teljes körű ellátását 2012-ben a repülőteret használó egyesületekkel és magánszemélyekkel kötött önkormányzati együttműködési szerződések aláírása után kezdte meg a Dunakeszi Közüzemi Nonprofit Kft. A tevékenység ellátása során a bevételeink és költségeink várhatóan 2017. évben is elhanyagolható szinten maradnak.</w:t>
      </w:r>
      <w:r>
        <w:rPr>
          <w:rFonts w:ascii="Times New Roman" w:hAnsi="Times New Roman" w:cs="Times New Roman"/>
          <w:sz w:val="24"/>
          <w:szCs w:val="24"/>
        </w:rPr>
        <w:t xml:space="preserve"> </w:t>
      </w:r>
    </w:p>
    <w:p w:rsidR="00474B1C"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4.6 Vagyonkezelés, intézmény-üzemletetés</w:t>
      </w:r>
    </w:p>
    <w:p w:rsidR="00474B1C" w:rsidRDefault="00474B1C" w:rsidP="001146AE">
      <w:pPr>
        <w:spacing w:after="0" w:line="240" w:lineRule="auto"/>
        <w:jc w:val="both"/>
        <w:rPr>
          <w:rFonts w:ascii="Times New Roman" w:hAnsi="Times New Roman" w:cs="Times New Roman"/>
          <w:b/>
          <w:bCs/>
          <w:sz w:val="24"/>
          <w:szCs w:val="24"/>
          <w:u w:val="single"/>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2011. évi CXCVI. törvény a nemzeti vagyonról szabályozza az állam és a helyi önkormányzatok tulajdonában álló vagyon megőrzésének, védelmének és a nemzeti vagyonnal való felelős gazdálkodásnak a követelményeit, az állam és a helyi önkormányzatok kizárólagos tulajdonának körét, a nemzeti vagyon feletti rendelkezési jog alapvető korlátait és a feltételeit, valamint az állam és a helyi önkormányzat kizárólagos gazdasági tevékenységeit.”</w:t>
      </w:r>
    </w:p>
    <w:p w:rsidR="00474B1C"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fenti törvény adott lehetőséget Dunakeszi Város Önkormányzatának arra, hogy a 2012 év végén megkezdett önkormányzati, államigazgatási és intézményrendszert érintő átalakítások után, az önkormányzatnál maradó vagyongazdálkodási és üzemeltetési feladatokkal 2013 januárjától a Dunakeszi Közüzemi Nonprofit Kft-t bízza meg.</w:t>
      </w:r>
    </w:p>
    <w:p w:rsidR="00474B1C"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városüzemeltetési, vagyongazdálkodási feladatok jogkörét a 2016-os év során 1 szerződésben korrigáltuk és pontosítottuk. Ezen szerződés fő célja, hogy az önköltségen felül elvárt fejlesztések visszapótlása biztosított legyen. </w:t>
      </w:r>
    </w:p>
    <w:p w:rsidR="00474B1C"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kormányzati döntéseknek megfelelően 2017. január 1-jétől a város alap- és középfokú oktatási intézményei üzemeltetését a társaságtól a Dunakeszi Járási Tankerület vette át, ennek </w:t>
      </w:r>
      <w:r>
        <w:rPr>
          <w:rFonts w:ascii="Times New Roman" w:hAnsi="Times New Roman" w:cs="Times New Roman"/>
          <w:sz w:val="24"/>
          <w:szCs w:val="24"/>
        </w:rPr>
        <w:lastRenderedPageBreak/>
        <w:t>megfelelően a tervezés során ezen intézmények üzemeltetésének ráfordításaival és bevételeivel már nem számoltunk.</w:t>
      </w:r>
    </w:p>
    <w:p w:rsidR="00474B1C"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vagyonkezelés kiadási oldalának tételei nagyrészt megegyeznek az önkormányzat által elfogadott költségvetés intézményei soraival. Az ide vonatkozó szerződés állományt felülvizsgáltuk, az összevonásokat elvégeztük, új ajánlatok bekérésével a költségeket racionalizálni próbáljuk. </w:t>
      </w:r>
    </w:p>
    <w:p w:rsidR="00474B1C"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Bevételi oldalon a kezelt vagyont használó állami intézmények, cégek és magánszemélyek által fizetendő használati, üzemeltetési valamint bérleti díjak jelennek meg. Feladatunk, hogy lehetőség szerint egységes, használattal arányos díjakra, és valós használatot tükröző közüzemi költségek megfizetésére szerződjünk partnereinkkel.</w:t>
      </w:r>
    </w:p>
    <w:p w:rsidR="00474B1C"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bevételi és kiadási oldalon keletkezett különbség finanszírozása továbbra is az önkormányzat feladata.</w:t>
      </w:r>
    </w:p>
    <w:p w:rsidR="00474B1C" w:rsidRDefault="00474B1C" w:rsidP="001146AE">
      <w:pPr>
        <w:spacing w:after="0" w:line="240" w:lineRule="auto"/>
        <w:jc w:val="both"/>
        <w:rPr>
          <w:rFonts w:ascii="Times New Roman" w:hAnsi="Times New Roman" w:cs="Times New Roman"/>
          <w:sz w:val="24"/>
          <w:szCs w:val="24"/>
        </w:rPr>
      </w:pPr>
    </w:p>
    <w:p w:rsidR="00474B1C" w:rsidRPr="00E20229"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Dunakeszi v</w:t>
      </w:r>
      <w:r w:rsidRPr="00E20229">
        <w:rPr>
          <w:rFonts w:ascii="Times New Roman" w:hAnsi="Times New Roman" w:cs="Times New Roman"/>
          <w:sz w:val="24"/>
          <w:szCs w:val="24"/>
        </w:rPr>
        <w:t>árosi intézményi felújítási terv műszaki és gazdasági tartalmának meghatározása az Intézmények vezetőivel és a város-vezetéssel közösen, március elején történik.</w:t>
      </w:r>
      <w:r>
        <w:rPr>
          <w:rFonts w:ascii="Times New Roman" w:hAnsi="Times New Roman" w:cs="Times New Roman"/>
          <w:sz w:val="24"/>
          <w:szCs w:val="24"/>
        </w:rPr>
        <w:t xml:space="preserve"> </w:t>
      </w:r>
      <w:r w:rsidRPr="00E20229">
        <w:rPr>
          <w:rFonts w:ascii="Times New Roman" w:hAnsi="Times New Roman" w:cs="Times New Roman"/>
          <w:sz w:val="24"/>
          <w:szCs w:val="24"/>
        </w:rPr>
        <w:t xml:space="preserve">Az igények összeállítása, előzetes felmérések alapján ennek nagyságrendje </w:t>
      </w:r>
      <w:r>
        <w:rPr>
          <w:rFonts w:ascii="Times New Roman" w:hAnsi="Times New Roman" w:cs="Times New Roman"/>
          <w:sz w:val="24"/>
          <w:szCs w:val="24"/>
        </w:rPr>
        <w:t>50.000 E Ft körül</w:t>
      </w:r>
      <w:r w:rsidRPr="00E20229">
        <w:rPr>
          <w:rFonts w:ascii="Times New Roman" w:hAnsi="Times New Roman" w:cs="Times New Roman"/>
          <w:sz w:val="24"/>
          <w:szCs w:val="24"/>
        </w:rPr>
        <w:t xml:space="preserve"> várható. A költségek időbeni megoszlása folyamatos</w:t>
      </w:r>
      <w:r>
        <w:rPr>
          <w:rFonts w:ascii="Times New Roman" w:hAnsi="Times New Roman" w:cs="Times New Roman"/>
          <w:sz w:val="24"/>
          <w:szCs w:val="24"/>
        </w:rPr>
        <w:t xml:space="preserve"> lesz</w:t>
      </w:r>
      <w:r w:rsidRPr="00E20229">
        <w:rPr>
          <w:rFonts w:ascii="Times New Roman" w:hAnsi="Times New Roman" w:cs="Times New Roman"/>
          <w:sz w:val="24"/>
          <w:szCs w:val="24"/>
        </w:rPr>
        <w:t xml:space="preserve">, de </w:t>
      </w:r>
      <w:r>
        <w:rPr>
          <w:rFonts w:ascii="Times New Roman" w:hAnsi="Times New Roman" w:cs="Times New Roman"/>
          <w:sz w:val="24"/>
          <w:szCs w:val="24"/>
        </w:rPr>
        <w:t xml:space="preserve">nagy részük </w:t>
      </w:r>
      <w:r w:rsidRPr="00E20229">
        <w:rPr>
          <w:rFonts w:ascii="Times New Roman" w:hAnsi="Times New Roman" w:cs="Times New Roman"/>
          <w:sz w:val="24"/>
          <w:szCs w:val="24"/>
        </w:rPr>
        <w:t>elsősorban a nyári időszakra koncentrálódik.</w:t>
      </w:r>
    </w:p>
    <w:p w:rsidR="00474B1C" w:rsidRPr="00E20229" w:rsidRDefault="00474B1C" w:rsidP="001146AE">
      <w:pPr>
        <w:spacing w:after="0" w:line="240" w:lineRule="auto"/>
        <w:jc w:val="both"/>
        <w:rPr>
          <w:rFonts w:ascii="Times New Roman" w:hAnsi="Times New Roman" w:cs="Times New Roman"/>
          <w:sz w:val="24"/>
          <w:szCs w:val="24"/>
        </w:rPr>
      </w:pPr>
    </w:p>
    <w:p w:rsidR="00474B1C" w:rsidRPr="00E20229"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t xml:space="preserve">Az ingatlanok, felépítmények és a benne üzemelő berendezések hatósági és egyéb felülvizsgálatainak folyamatos- és/vagy rendszeres jellegére tekintettel a 2016-os tényadatok </w:t>
      </w:r>
      <w:r>
        <w:rPr>
          <w:rFonts w:ascii="Times New Roman" w:hAnsi="Times New Roman" w:cs="Times New Roman"/>
          <w:sz w:val="24"/>
          <w:szCs w:val="24"/>
        </w:rPr>
        <w:t>(7.000 E Ft)</w:t>
      </w:r>
      <w:r w:rsidRPr="00E20229">
        <w:rPr>
          <w:rFonts w:ascii="Times New Roman" w:hAnsi="Times New Roman" w:cs="Times New Roman"/>
          <w:sz w:val="24"/>
          <w:szCs w:val="24"/>
        </w:rPr>
        <w:t xml:space="preserve"> szerint kalkulálunk, azzal a kitétellel, hogy az oktatási intézmények üzemeltetése már nem a cégünk feladata. A tevékenyég és ezáltal a költségek az üzemeltetésből kivont ingatlanok mértékével arányosan csökken, </w:t>
      </w:r>
      <w:r>
        <w:rPr>
          <w:rFonts w:ascii="Times New Roman" w:hAnsi="Times New Roman" w:cs="Times New Roman"/>
          <w:sz w:val="24"/>
          <w:szCs w:val="24"/>
        </w:rPr>
        <w:t>a várható költségmegtakarítás közel 150.000 E Ft.</w:t>
      </w:r>
    </w:p>
    <w:p w:rsidR="00474B1C" w:rsidRPr="00E20229" w:rsidRDefault="00474B1C" w:rsidP="001146AE">
      <w:pPr>
        <w:spacing w:after="0" w:line="240" w:lineRule="auto"/>
        <w:jc w:val="both"/>
        <w:rPr>
          <w:rFonts w:ascii="Times New Roman" w:hAnsi="Times New Roman" w:cs="Times New Roman"/>
          <w:sz w:val="24"/>
          <w:szCs w:val="24"/>
        </w:rPr>
      </w:pPr>
    </w:p>
    <w:p w:rsidR="00474B1C" w:rsidRPr="00361E0A" w:rsidRDefault="00474B1C" w:rsidP="001146AE">
      <w:pPr>
        <w:spacing w:after="0" w:line="240" w:lineRule="auto"/>
        <w:jc w:val="both"/>
        <w:rPr>
          <w:rFonts w:ascii="Times New Roman" w:hAnsi="Times New Roman" w:cs="Times New Roman"/>
          <w:i/>
          <w:iCs/>
          <w:sz w:val="24"/>
          <w:szCs w:val="24"/>
        </w:rPr>
      </w:pPr>
      <w:r w:rsidRPr="00361E0A">
        <w:rPr>
          <w:rFonts w:ascii="Times New Roman" w:hAnsi="Times New Roman" w:cs="Times New Roman"/>
          <w:i/>
          <w:iCs/>
          <w:sz w:val="24"/>
          <w:szCs w:val="24"/>
        </w:rPr>
        <w:t>Közüzem vagyongazdálkodása által tervezett hasznosítási bevételek</w:t>
      </w:r>
      <w:r>
        <w:rPr>
          <w:rFonts w:ascii="Times New Roman" w:hAnsi="Times New Roman" w:cs="Times New Roman"/>
          <w:i/>
          <w:iCs/>
          <w:sz w:val="24"/>
          <w:szCs w:val="24"/>
        </w:rPr>
        <w:t>:</w:t>
      </w:r>
    </w:p>
    <w:p w:rsidR="00474B1C" w:rsidRDefault="00474B1C" w:rsidP="001146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E20229">
        <w:rPr>
          <w:rFonts w:ascii="Times New Roman" w:hAnsi="Times New Roman" w:cs="Times New Roman"/>
          <w:sz w:val="24"/>
          <w:szCs w:val="24"/>
        </w:rPr>
        <w:t xml:space="preserve"> városi intézményrendszer átalakulása miatt </w:t>
      </w:r>
      <w:r>
        <w:rPr>
          <w:rFonts w:ascii="Times New Roman" w:hAnsi="Times New Roman" w:cs="Times New Roman"/>
          <w:sz w:val="24"/>
          <w:szCs w:val="24"/>
        </w:rPr>
        <w:t xml:space="preserve">2017. évre vonatkozóan </w:t>
      </w:r>
      <w:r w:rsidRPr="00E20229">
        <w:rPr>
          <w:rFonts w:ascii="Times New Roman" w:hAnsi="Times New Roman" w:cs="Times New Roman"/>
          <w:sz w:val="24"/>
          <w:szCs w:val="24"/>
        </w:rPr>
        <w:t xml:space="preserve">a </w:t>
      </w:r>
      <w:r>
        <w:rPr>
          <w:rFonts w:ascii="Times New Roman" w:hAnsi="Times New Roman" w:cs="Times New Roman"/>
          <w:sz w:val="24"/>
          <w:szCs w:val="24"/>
        </w:rPr>
        <w:t>terem</w:t>
      </w:r>
      <w:r w:rsidRPr="00E20229">
        <w:rPr>
          <w:rFonts w:ascii="Times New Roman" w:hAnsi="Times New Roman" w:cs="Times New Roman"/>
          <w:sz w:val="24"/>
          <w:szCs w:val="24"/>
        </w:rPr>
        <w:t xml:space="preserve">bérleti konstrukciók is megváltoztak. Az oktatási intézmények üzemeltetője a Dunakeszi Tankerületi Központ (DTK), így ezen intézmények hasznosítása során fellépő költségek fedezésére a bevétel megoszlik a DTK és a Közüzem között. A hasznosításból Közüzemre származtatott bevétel </w:t>
      </w:r>
      <w:r>
        <w:rPr>
          <w:rFonts w:ascii="Times New Roman" w:hAnsi="Times New Roman" w:cs="Times New Roman"/>
          <w:sz w:val="24"/>
          <w:szCs w:val="24"/>
        </w:rPr>
        <w:t>tervezett összege 3.300 E Ft.</w:t>
      </w:r>
    </w:p>
    <w:p w:rsidR="00474B1C" w:rsidRPr="00E20229"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t>Sportpálya és egyéb sport jellegű bérbeadásból származó bevétel</w:t>
      </w:r>
      <w:r>
        <w:rPr>
          <w:rFonts w:ascii="Times New Roman" w:hAnsi="Times New Roman" w:cs="Times New Roman"/>
          <w:sz w:val="24"/>
          <w:szCs w:val="24"/>
        </w:rPr>
        <w:t xml:space="preserve">ek. </w:t>
      </w:r>
      <w:r w:rsidRPr="00E20229">
        <w:rPr>
          <w:rFonts w:ascii="Times New Roman" w:hAnsi="Times New Roman" w:cs="Times New Roman"/>
          <w:sz w:val="24"/>
          <w:szCs w:val="24"/>
        </w:rPr>
        <w:t xml:space="preserve">Főbb telephelyek a Magyarság Sportpálya és a Fóti úti (Kinizsi) Sportpálya és mellette több terület bérbeadásából tervezett bevétel </w:t>
      </w:r>
      <w:r>
        <w:rPr>
          <w:rFonts w:ascii="Times New Roman" w:hAnsi="Times New Roman" w:cs="Times New Roman"/>
          <w:sz w:val="24"/>
          <w:szCs w:val="24"/>
        </w:rPr>
        <w:t>összege50.000 E Ft.</w:t>
      </w:r>
    </w:p>
    <w:p w:rsidR="00474B1C" w:rsidRPr="00E20229"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t>Reklámfelületek bérbeadása</w:t>
      </w:r>
    </w:p>
    <w:p w:rsidR="00474B1C"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t xml:space="preserve">Reklámgazdai tevékenységünk során Dunakeszi város területén elhelyezett óriásplakátok, városi hirdetőtáblák és egyéb hirdető/reklám-eszközök bérbeadásából tervezett bevétel </w:t>
      </w:r>
      <w:r>
        <w:rPr>
          <w:rFonts w:ascii="Times New Roman" w:hAnsi="Times New Roman" w:cs="Times New Roman"/>
          <w:sz w:val="24"/>
          <w:szCs w:val="24"/>
        </w:rPr>
        <w:t>összege</w:t>
      </w:r>
      <w:r w:rsidRPr="00E20229">
        <w:rPr>
          <w:rFonts w:ascii="Times New Roman" w:hAnsi="Times New Roman" w:cs="Times New Roman"/>
          <w:sz w:val="24"/>
          <w:szCs w:val="24"/>
        </w:rPr>
        <w:t xml:space="preserve"> </w:t>
      </w:r>
      <w:r>
        <w:rPr>
          <w:rFonts w:ascii="Times New Roman" w:hAnsi="Times New Roman" w:cs="Times New Roman"/>
          <w:sz w:val="24"/>
          <w:szCs w:val="24"/>
        </w:rPr>
        <w:t>15.000 E Ft.</w:t>
      </w:r>
    </w:p>
    <w:p w:rsidR="00474B1C" w:rsidRPr="00E20229"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t>Egyéb ingatlan bérbeadásából származó bevételek</w:t>
      </w:r>
    </w:p>
    <w:p w:rsidR="00474B1C"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t xml:space="preserve">Vagyongazdaként több iroda és üzlethelyiség bérbeadásából származó bevétel tervezett mértéke: </w:t>
      </w:r>
      <w:r>
        <w:rPr>
          <w:rFonts w:ascii="Times New Roman" w:hAnsi="Times New Roman" w:cs="Times New Roman"/>
          <w:sz w:val="24"/>
          <w:szCs w:val="24"/>
        </w:rPr>
        <w:t>18.000 E Ft.</w:t>
      </w:r>
    </w:p>
    <w:p w:rsidR="00474B1C" w:rsidRPr="00E20229"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t>Rendezvényekből származó bevételek</w:t>
      </w:r>
    </w:p>
    <w:p w:rsidR="00474B1C" w:rsidRPr="00E20229" w:rsidRDefault="00474B1C" w:rsidP="001146AE">
      <w:pPr>
        <w:spacing w:after="0" w:line="240" w:lineRule="auto"/>
        <w:jc w:val="both"/>
        <w:rPr>
          <w:rFonts w:ascii="Times New Roman" w:hAnsi="Times New Roman" w:cs="Times New Roman"/>
          <w:sz w:val="24"/>
          <w:szCs w:val="24"/>
        </w:rPr>
      </w:pPr>
      <w:r w:rsidRPr="00E20229">
        <w:rPr>
          <w:rFonts w:ascii="Times New Roman" w:hAnsi="Times New Roman" w:cs="Times New Roman"/>
          <w:sz w:val="24"/>
          <w:szCs w:val="24"/>
        </w:rPr>
        <w:lastRenderedPageBreak/>
        <w:t xml:space="preserve">Rendezvények árusaitól és egyéb rendezvénnyel kapcsolatos bérleti díjakból származó bevétel tervezett értéke: </w:t>
      </w:r>
      <w:r>
        <w:rPr>
          <w:rFonts w:ascii="Times New Roman" w:hAnsi="Times New Roman" w:cs="Times New Roman"/>
          <w:sz w:val="24"/>
          <w:szCs w:val="24"/>
        </w:rPr>
        <w:t>9.000 E Ft.</w:t>
      </w:r>
    </w:p>
    <w:p w:rsidR="00474B1C" w:rsidRDefault="00474B1C" w:rsidP="001146AE">
      <w:pPr>
        <w:rPr>
          <w:rFonts w:ascii="Times New Roman" w:hAnsi="Times New Roman" w:cs="Times New Roman"/>
          <w:sz w:val="24"/>
          <w:szCs w:val="24"/>
        </w:rPr>
      </w:pPr>
    </w:p>
    <w:p w:rsidR="00474B1C" w:rsidRDefault="00474B1C" w:rsidP="001146AE">
      <w:pPr>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4.7 2017-es fejlesztési tervek</w:t>
      </w:r>
    </w:p>
    <w:p w:rsidR="00474B1C" w:rsidRDefault="00474B1C" w:rsidP="001146AE">
      <w:pPr>
        <w:spacing w:after="0" w:line="240" w:lineRule="auto"/>
        <w:jc w:val="both"/>
        <w:rPr>
          <w:rFonts w:ascii="Times New Roman" w:hAnsi="Times New Roman" w:cs="Times New Roman"/>
          <w:i/>
          <w:iCs/>
          <w:sz w:val="24"/>
          <w:szCs w:val="24"/>
        </w:rPr>
      </w:pPr>
    </w:p>
    <w:p w:rsidR="00474B1C" w:rsidRDefault="00474B1C" w:rsidP="001146AE">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Több területet kiszolgáló fejlesztési célok</w:t>
      </w:r>
    </w:p>
    <w:p w:rsidR="00474B1C" w:rsidRDefault="00474B1C" w:rsidP="001146AE">
      <w:pPr>
        <w:spacing w:after="0" w:line="240" w:lineRule="auto"/>
        <w:jc w:val="both"/>
        <w:rPr>
          <w:rFonts w:ascii="Times New Roman" w:hAnsi="Times New Roman" w:cs="Times New Roman"/>
          <w:i/>
          <w:iCs/>
          <w:sz w:val="24"/>
          <w:szCs w:val="24"/>
        </w:rPr>
      </w:pPr>
    </w:p>
    <w:p w:rsidR="00474B1C" w:rsidRPr="00DD2D1E" w:rsidRDefault="00474B1C" w:rsidP="001146AE">
      <w:pPr>
        <w:pStyle w:val="Listaszerbekezds"/>
        <w:numPr>
          <w:ilvl w:val="0"/>
          <w:numId w:val="15"/>
        </w:numPr>
        <w:spacing w:after="0" w:line="240" w:lineRule="auto"/>
        <w:jc w:val="both"/>
        <w:rPr>
          <w:rFonts w:ascii="Times New Roman" w:hAnsi="Times New Roman" w:cs="Times New Roman"/>
          <w:sz w:val="24"/>
          <w:szCs w:val="24"/>
        </w:rPr>
      </w:pPr>
      <w:r w:rsidRPr="00DD2D1E">
        <w:rPr>
          <w:rFonts w:ascii="Times New Roman" w:hAnsi="Times New Roman" w:cs="Times New Roman"/>
          <w:sz w:val="24"/>
          <w:szCs w:val="24"/>
        </w:rPr>
        <w:t>Fogyasztóink és ügyfeleink magasabb szintű kiszolgálása érdekében, az adminisztratív munka hatékonyabb és korszerűbb szervezése, valamint részben energetikai szempontok miatt, 2017-ben meg kívánjuk kezdeni a cég Tallér utcai irodaházának bővítési munkálatait. Az épület rekonstrukció tervezése tulajdonosi hozzájárulással megkezdődött, a végleges tervek elkészülte után, engedélyezést követően 2017 nyarán a munka megkezdhető. Pontos beruházási összeg egyenlőre nem ismert, a bekerülési költség a kiviteli tervek elkészítése után fog rendelkezésre állni.</w:t>
      </w:r>
    </w:p>
    <w:p w:rsidR="00474B1C" w:rsidRPr="00DD2D1E" w:rsidRDefault="00474B1C" w:rsidP="001146AE">
      <w:pPr>
        <w:spacing w:after="0" w:line="240" w:lineRule="auto"/>
        <w:jc w:val="both"/>
        <w:rPr>
          <w:rFonts w:ascii="Times New Roman" w:hAnsi="Times New Roman" w:cs="Times New Roman"/>
          <w:sz w:val="24"/>
          <w:szCs w:val="24"/>
        </w:rPr>
      </w:pPr>
    </w:p>
    <w:p w:rsidR="00474B1C" w:rsidRPr="00DD2D1E" w:rsidRDefault="00474B1C" w:rsidP="001146AE">
      <w:pPr>
        <w:pStyle w:val="Listaszerbekezds"/>
        <w:numPr>
          <w:ilvl w:val="0"/>
          <w:numId w:val="15"/>
        </w:numPr>
        <w:spacing w:after="0" w:line="240" w:lineRule="auto"/>
        <w:jc w:val="both"/>
        <w:rPr>
          <w:rFonts w:ascii="Times New Roman" w:hAnsi="Times New Roman" w:cs="Times New Roman"/>
          <w:sz w:val="24"/>
          <w:szCs w:val="24"/>
        </w:rPr>
      </w:pPr>
      <w:r w:rsidRPr="00DD2D1E">
        <w:rPr>
          <w:rFonts w:ascii="Times New Roman" w:hAnsi="Times New Roman" w:cs="Times New Roman"/>
          <w:sz w:val="24"/>
          <w:szCs w:val="24"/>
        </w:rPr>
        <w:t>A Dunakeszi Közüzemi Nonprofit Kft. által végzett közszolgáltatási, városüzemeltetési és vagyonkezelési tevékenységek adminisztrációja területén is szükséges fejlesztést indítani 2017 tavaszán. Az önkormányzat és a szakhatóságok jelentősen megnövekedett adatszolgáltatási igényének kiszolgálására, a könyvelési, pénzügyi, kontrolling munka hatékony végzésére, valamint a tömeges számlázások pontos lebonyolítására integrált vállalatirányítási rendszert kívánunk bevezetni az év során. Az előzetes ajánlatok alapján a rendszer bevezetésének költsége kb.: 7 MFt. Mivel 2016 végén egyedi számlázási rendszerünk működése kis híján ellehetetlenült, a fejlesztés halaszthatatlanul végrehajtandó.</w:t>
      </w:r>
    </w:p>
    <w:p w:rsidR="00474B1C" w:rsidRPr="00DD2D1E" w:rsidRDefault="00474B1C" w:rsidP="001146AE">
      <w:pPr>
        <w:spacing w:after="0" w:line="240" w:lineRule="auto"/>
        <w:jc w:val="both"/>
        <w:rPr>
          <w:rFonts w:ascii="Times New Roman" w:hAnsi="Times New Roman" w:cs="Times New Roman"/>
          <w:sz w:val="24"/>
          <w:szCs w:val="24"/>
        </w:rPr>
      </w:pPr>
    </w:p>
    <w:p w:rsidR="00474B1C" w:rsidRDefault="00474B1C" w:rsidP="001146AE">
      <w:pPr>
        <w:spacing w:after="0" w:line="240" w:lineRule="auto"/>
        <w:jc w:val="both"/>
        <w:rPr>
          <w:rFonts w:ascii="Times New Roman" w:hAnsi="Times New Roman" w:cs="Times New Roman"/>
          <w:i/>
          <w:iCs/>
          <w:sz w:val="24"/>
          <w:szCs w:val="24"/>
        </w:rPr>
      </w:pPr>
      <w:r w:rsidRPr="00575B83">
        <w:rPr>
          <w:rFonts w:ascii="Times New Roman" w:hAnsi="Times New Roman" w:cs="Times New Roman"/>
          <w:i/>
          <w:iCs/>
          <w:sz w:val="24"/>
          <w:szCs w:val="24"/>
        </w:rPr>
        <w:t>Fejlesztési célok a távhőszolgáltatás területén</w:t>
      </w:r>
      <w:r>
        <w:rPr>
          <w:rFonts w:ascii="Times New Roman" w:hAnsi="Times New Roman" w:cs="Times New Roman"/>
          <w:i/>
          <w:iCs/>
          <w:sz w:val="24"/>
          <w:szCs w:val="24"/>
        </w:rPr>
        <w:t>:</w:t>
      </w:r>
    </w:p>
    <w:p w:rsidR="00474B1C" w:rsidRDefault="00474B1C" w:rsidP="001146AE">
      <w:pPr>
        <w:spacing w:after="0" w:line="240" w:lineRule="auto"/>
        <w:jc w:val="both"/>
        <w:rPr>
          <w:rFonts w:ascii="Times New Roman" w:hAnsi="Times New Roman" w:cs="Times New Roman"/>
          <w:sz w:val="24"/>
          <w:szCs w:val="24"/>
        </w:rPr>
      </w:pPr>
    </w:p>
    <w:p w:rsidR="00474B1C" w:rsidRPr="00DD2D1E" w:rsidRDefault="00474B1C" w:rsidP="001146AE">
      <w:pPr>
        <w:pStyle w:val="Listaszerbekezds"/>
        <w:numPr>
          <w:ilvl w:val="0"/>
          <w:numId w:val="16"/>
        </w:numPr>
        <w:spacing w:after="0" w:line="240" w:lineRule="auto"/>
        <w:jc w:val="both"/>
        <w:rPr>
          <w:rFonts w:ascii="Times New Roman" w:hAnsi="Times New Roman" w:cs="Times New Roman"/>
          <w:sz w:val="24"/>
          <w:szCs w:val="24"/>
        </w:rPr>
      </w:pPr>
      <w:r w:rsidRPr="00DD2D1E">
        <w:rPr>
          <w:rFonts w:ascii="Times New Roman" w:hAnsi="Times New Roman" w:cs="Times New Roman"/>
          <w:sz w:val="24"/>
          <w:szCs w:val="24"/>
        </w:rPr>
        <w:t>A Dunakeszi Közüzemi Nonprofit Kft. a 2014-es és 2015-ös gazdasági év távhőszolgáltatási üzletágán képzett fejlesztési céltartalékának terhére, valamint a 2016-os várható gazdálkodási eredmény 2%-os eszközarányos nyereség feletti részét felhasználva folytatni kívánja a távhő rendszer korszerűsítését a távvezeték hálózat felújításával. A társaság 2016-ban megkezdte a tervezés előkészítését, melyet 2017 tavaszán le kíván zárni annak érdekében, hogy a célzott beruházás a 2017-es fűtési szezon indítása előtt befejeződhessen. A rekonstrukció teljes felhasználandó kerete nettó 141 MFt.</w:t>
      </w:r>
    </w:p>
    <w:p w:rsidR="00474B1C" w:rsidRDefault="00474B1C" w:rsidP="001146AE">
      <w:pPr>
        <w:rPr>
          <w:rFonts w:ascii="Times New Roman" w:hAnsi="Times New Roman" w:cs="Times New Roman"/>
          <w:color w:val="FF0000"/>
          <w:sz w:val="24"/>
          <w:szCs w:val="24"/>
        </w:rPr>
      </w:pPr>
    </w:p>
    <w:p w:rsidR="00474B1C" w:rsidRDefault="00474B1C" w:rsidP="001146AE">
      <w:pPr>
        <w:rPr>
          <w:rFonts w:ascii="Times New Roman" w:hAnsi="Times New Roman" w:cs="Times New Roman"/>
          <w:i/>
          <w:iCs/>
          <w:sz w:val="24"/>
          <w:szCs w:val="24"/>
        </w:rPr>
      </w:pPr>
      <w:r w:rsidRPr="00DD2D1E">
        <w:rPr>
          <w:rFonts w:ascii="Times New Roman" w:hAnsi="Times New Roman" w:cs="Times New Roman"/>
          <w:i/>
          <w:iCs/>
          <w:sz w:val="24"/>
          <w:szCs w:val="24"/>
        </w:rPr>
        <w:t>Fejlesztési célok a temető üzemeltetés területén:</w:t>
      </w:r>
    </w:p>
    <w:p w:rsidR="00474B1C" w:rsidRPr="00726F74" w:rsidRDefault="00474B1C" w:rsidP="001146AE">
      <w:pPr>
        <w:spacing w:after="0" w:line="240" w:lineRule="auto"/>
        <w:jc w:val="both"/>
        <w:rPr>
          <w:rFonts w:ascii="Times New Roman" w:hAnsi="Times New Roman" w:cs="Times New Roman"/>
          <w:sz w:val="24"/>
          <w:szCs w:val="24"/>
        </w:rPr>
      </w:pPr>
      <w:r w:rsidRPr="00726F74">
        <w:rPr>
          <w:rFonts w:ascii="Times New Roman" w:hAnsi="Times New Roman" w:cs="Times New Roman"/>
          <w:sz w:val="24"/>
          <w:szCs w:val="24"/>
        </w:rPr>
        <w:t>2017-ben is tovább kell folytatni a temető elmaradt fejlesztéseinek megvalósítását:</w:t>
      </w:r>
    </w:p>
    <w:p w:rsidR="00474B1C" w:rsidRPr="00726F74" w:rsidRDefault="00474B1C" w:rsidP="001146AE">
      <w:pPr>
        <w:pStyle w:val="Listaszerbekezds"/>
        <w:numPr>
          <w:ilvl w:val="0"/>
          <w:numId w:val="10"/>
        </w:numPr>
        <w:spacing w:after="0" w:line="240" w:lineRule="auto"/>
        <w:ind w:left="709" w:hanging="283"/>
        <w:rPr>
          <w:rFonts w:ascii="Times New Roman" w:hAnsi="Times New Roman" w:cs="Times New Roman"/>
          <w:sz w:val="24"/>
          <w:szCs w:val="24"/>
        </w:rPr>
      </w:pPr>
      <w:r w:rsidRPr="00726F74">
        <w:rPr>
          <w:rFonts w:ascii="Times New Roman" w:hAnsi="Times New Roman" w:cs="Times New Roman"/>
          <w:sz w:val="24"/>
          <w:szCs w:val="24"/>
        </w:rPr>
        <w:t>Lejárt és nyárig újra meg nem váltott urnasírok felszámolása,</w:t>
      </w:r>
    </w:p>
    <w:p w:rsidR="00474B1C" w:rsidRPr="00726F74" w:rsidRDefault="00474B1C" w:rsidP="001146AE">
      <w:pPr>
        <w:pStyle w:val="Listaszerbekezds"/>
        <w:numPr>
          <w:ilvl w:val="0"/>
          <w:numId w:val="10"/>
        </w:numPr>
        <w:spacing w:after="0" w:line="240" w:lineRule="auto"/>
        <w:ind w:left="709" w:hanging="283"/>
        <w:rPr>
          <w:rFonts w:ascii="Times New Roman" w:hAnsi="Times New Roman" w:cs="Times New Roman"/>
          <w:sz w:val="24"/>
          <w:szCs w:val="24"/>
        </w:rPr>
      </w:pPr>
      <w:r w:rsidRPr="00726F74">
        <w:rPr>
          <w:rFonts w:ascii="Times New Roman" w:hAnsi="Times New Roman" w:cs="Times New Roman"/>
          <w:sz w:val="24"/>
          <w:szCs w:val="24"/>
        </w:rPr>
        <w:t>Irodaépület külső hőszigetelésének kiépítése,</w:t>
      </w:r>
    </w:p>
    <w:p w:rsidR="00474B1C" w:rsidRPr="00726F74" w:rsidRDefault="00474B1C" w:rsidP="001146AE">
      <w:pPr>
        <w:pStyle w:val="Listaszerbekezds"/>
        <w:numPr>
          <w:ilvl w:val="0"/>
          <w:numId w:val="10"/>
        </w:numPr>
        <w:spacing w:after="0" w:line="240" w:lineRule="auto"/>
        <w:ind w:left="709" w:hanging="283"/>
        <w:rPr>
          <w:rFonts w:ascii="Times New Roman" w:hAnsi="Times New Roman" w:cs="Times New Roman"/>
          <w:sz w:val="24"/>
          <w:szCs w:val="24"/>
        </w:rPr>
      </w:pPr>
      <w:r w:rsidRPr="00726F74">
        <w:rPr>
          <w:rFonts w:ascii="Times New Roman" w:hAnsi="Times New Roman" w:cs="Times New Roman"/>
          <w:sz w:val="24"/>
          <w:szCs w:val="24"/>
        </w:rPr>
        <w:t xml:space="preserve">Ravatalozó melletti díszpark </w:t>
      </w:r>
      <w:r>
        <w:rPr>
          <w:rFonts w:ascii="Times New Roman" w:hAnsi="Times New Roman" w:cs="Times New Roman"/>
          <w:sz w:val="24"/>
          <w:szCs w:val="24"/>
        </w:rPr>
        <w:t xml:space="preserve"> és szóróparcella tervezésének </w:t>
      </w:r>
      <w:r w:rsidRPr="00726F74">
        <w:rPr>
          <w:rFonts w:ascii="Times New Roman" w:hAnsi="Times New Roman" w:cs="Times New Roman"/>
          <w:sz w:val="24"/>
          <w:szCs w:val="24"/>
        </w:rPr>
        <w:t>megvalósítása.</w:t>
      </w:r>
    </w:p>
    <w:p w:rsidR="00474B1C" w:rsidRPr="00E20229" w:rsidRDefault="00474B1C" w:rsidP="001146AE">
      <w:pPr>
        <w:spacing w:after="0" w:line="240" w:lineRule="auto"/>
        <w:jc w:val="both"/>
        <w:rPr>
          <w:rFonts w:ascii="Times New Roman" w:hAnsi="Times New Roman" w:cs="Times New Roman"/>
          <w:sz w:val="24"/>
          <w:szCs w:val="24"/>
        </w:rPr>
      </w:pPr>
    </w:p>
    <w:p w:rsidR="00474B1C" w:rsidRPr="00854ECE" w:rsidRDefault="00474B1C" w:rsidP="001146AE">
      <w:pPr>
        <w:spacing w:after="0" w:line="240" w:lineRule="auto"/>
        <w:jc w:val="both"/>
        <w:rPr>
          <w:rFonts w:ascii="Times New Roman" w:hAnsi="Times New Roman" w:cs="Times New Roman"/>
          <w:i/>
          <w:iCs/>
          <w:sz w:val="24"/>
          <w:szCs w:val="24"/>
        </w:rPr>
      </w:pPr>
      <w:r w:rsidRPr="00854ECE">
        <w:rPr>
          <w:rFonts w:ascii="Times New Roman" w:hAnsi="Times New Roman" w:cs="Times New Roman"/>
          <w:i/>
          <w:iCs/>
          <w:sz w:val="24"/>
          <w:szCs w:val="24"/>
        </w:rPr>
        <w:t>A vagyongazdálkodási osztály a saját területén az alábbi beruházásokat tervezi a társaság kezelésében lévő vagyonelemeken:</w:t>
      </w:r>
    </w:p>
    <w:p w:rsidR="00474B1C" w:rsidRPr="00E20229" w:rsidRDefault="00474B1C" w:rsidP="001146AE">
      <w:pPr>
        <w:spacing w:after="0" w:line="240" w:lineRule="auto"/>
        <w:jc w:val="both"/>
        <w:rPr>
          <w:rFonts w:ascii="Times New Roman" w:hAnsi="Times New Roman" w:cs="Times New Roman"/>
          <w:sz w:val="24"/>
          <w:szCs w:val="24"/>
        </w:rPr>
      </w:pPr>
    </w:p>
    <w:p w:rsidR="00474B1C" w:rsidRDefault="00474B1C" w:rsidP="001146AE">
      <w:pPr>
        <w:pStyle w:val="Listaszerbekezds"/>
        <w:numPr>
          <w:ilvl w:val="0"/>
          <w:numId w:val="14"/>
        </w:numPr>
        <w:spacing w:after="0" w:line="240" w:lineRule="auto"/>
        <w:jc w:val="both"/>
        <w:rPr>
          <w:rFonts w:ascii="Times New Roman" w:hAnsi="Times New Roman" w:cs="Times New Roman"/>
          <w:sz w:val="24"/>
          <w:szCs w:val="24"/>
        </w:rPr>
      </w:pPr>
      <w:r w:rsidRPr="00361E0A">
        <w:rPr>
          <w:rFonts w:ascii="Times New Roman" w:hAnsi="Times New Roman" w:cs="Times New Roman"/>
          <w:sz w:val="24"/>
          <w:szCs w:val="24"/>
        </w:rPr>
        <w:lastRenderedPageBreak/>
        <w:t>Szent István utcai telephely kazánház korszerűsítése</w:t>
      </w:r>
      <w:r>
        <w:rPr>
          <w:rFonts w:ascii="Times New Roman" w:hAnsi="Times New Roman" w:cs="Times New Roman"/>
          <w:sz w:val="24"/>
          <w:szCs w:val="24"/>
        </w:rPr>
        <w:t>:</w:t>
      </w:r>
      <w:r w:rsidRPr="00361E0A">
        <w:rPr>
          <w:rFonts w:ascii="Times New Roman" w:hAnsi="Times New Roman" w:cs="Times New Roman"/>
          <w:sz w:val="24"/>
          <w:szCs w:val="24"/>
        </w:rPr>
        <w:t xml:space="preserve"> Az elavult, gazdaságtalanul működtethető kazánház üzembiztonsága a továbbiakban már nem tartható fenn. A folyamatos, magas költséggel járó javítások és bizonytalan üzemeltetés szükségszerűvé tette a kazánok, és a kazánokhoz közvetlenül tartozó vezérlési és biztonsági berendezések cseréjét. A projekt várható költsége </w:t>
      </w:r>
      <w:r>
        <w:rPr>
          <w:rFonts w:ascii="Times New Roman" w:hAnsi="Times New Roman" w:cs="Times New Roman"/>
          <w:sz w:val="24"/>
          <w:szCs w:val="24"/>
        </w:rPr>
        <w:t>12.000 E Ft.</w:t>
      </w:r>
    </w:p>
    <w:p w:rsidR="00474B1C" w:rsidRDefault="00474B1C" w:rsidP="001146AE">
      <w:pPr>
        <w:pStyle w:val="Listaszerbekezds"/>
        <w:spacing w:after="0" w:line="240" w:lineRule="auto"/>
        <w:jc w:val="both"/>
        <w:rPr>
          <w:rFonts w:ascii="Times New Roman" w:hAnsi="Times New Roman" w:cs="Times New Roman"/>
          <w:sz w:val="24"/>
          <w:szCs w:val="24"/>
        </w:rPr>
      </w:pPr>
    </w:p>
    <w:p w:rsidR="00474B1C" w:rsidRPr="00361E0A" w:rsidRDefault="00474B1C" w:rsidP="001146AE">
      <w:pPr>
        <w:pStyle w:val="Listaszerbekezds"/>
        <w:numPr>
          <w:ilvl w:val="0"/>
          <w:numId w:val="14"/>
        </w:numPr>
        <w:spacing w:after="0" w:line="240" w:lineRule="auto"/>
        <w:jc w:val="both"/>
        <w:rPr>
          <w:rFonts w:ascii="Times New Roman" w:hAnsi="Times New Roman" w:cs="Times New Roman"/>
          <w:sz w:val="24"/>
          <w:szCs w:val="24"/>
        </w:rPr>
      </w:pPr>
      <w:r w:rsidRPr="00361E0A">
        <w:rPr>
          <w:rFonts w:ascii="Times New Roman" w:hAnsi="Times New Roman" w:cs="Times New Roman"/>
          <w:sz w:val="24"/>
          <w:szCs w:val="24"/>
        </w:rPr>
        <w:t xml:space="preserve">A </w:t>
      </w:r>
      <w:r>
        <w:rPr>
          <w:rFonts w:ascii="Times New Roman" w:hAnsi="Times New Roman" w:cs="Times New Roman"/>
          <w:sz w:val="24"/>
          <w:szCs w:val="24"/>
        </w:rPr>
        <w:t>társaság</w:t>
      </w:r>
      <w:r w:rsidRPr="00361E0A">
        <w:rPr>
          <w:rFonts w:ascii="Times New Roman" w:hAnsi="Times New Roman" w:cs="Times New Roman"/>
          <w:sz w:val="24"/>
          <w:szCs w:val="24"/>
        </w:rPr>
        <w:t xml:space="preserve"> </w:t>
      </w:r>
      <w:r>
        <w:rPr>
          <w:rFonts w:ascii="Times New Roman" w:hAnsi="Times New Roman" w:cs="Times New Roman"/>
          <w:sz w:val="24"/>
          <w:szCs w:val="24"/>
        </w:rPr>
        <w:t>tulajdonában álló</w:t>
      </w:r>
      <w:r w:rsidRPr="00361E0A">
        <w:rPr>
          <w:rFonts w:ascii="Times New Roman" w:hAnsi="Times New Roman" w:cs="Times New Roman"/>
          <w:sz w:val="24"/>
          <w:szCs w:val="24"/>
        </w:rPr>
        <w:t xml:space="preserve"> Casalgrande téri pavilon</w:t>
      </w:r>
      <w:r>
        <w:rPr>
          <w:rFonts w:ascii="Times New Roman" w:hAnsi="Times New Roman" w:cs="Times New Roman"/>
          <w:sz w:val="24"/>
          <w:szCs w:val="24"/>
        </w:rPr>
        <w:t xml:space="preserve">ok </w:t>
      </w:r>
      <w:r w:rsidRPr="00361E0A">
        <w:rPr>
          <w:rFonts w:ascii="Times New Roman" w:hAnsi="Times New Roman" w:cs="Times New Roman"/>
          <w:sz w:val="24"/>
          <w:szCs w:val="24"/>
        </w:rPr>
        <w:t xml:space="preserve"> szerkezeti problémák </w:t>
      </w:r>
      <w:r>
        <w:rPr>
          <w:rFonts w:ascii="Times New Roman" w:hAnsi="Times New Roman" w:cs="Times New Roman"/>
          <w:sz w:val="24"/>
          <w:szCs w:val="24"/>
        </w:rPr>
        <w:t xml:space="preserve">miatt </w:t>
      </w:r>
      <w:r w:rsidRPr="00361E0A">
        <w:rPr>
          <w:rFonts w:ascii="Times New Roman" w:hAnsi="Times New Roman" w:cs="Times New Roman"/>
          <w:sz w:val="24"/>
          <w:szCs w:val="24"/>
        </w:rPr>
        <w:t xml:space="preserve">és esztétikai szempontokból is felújításra szorulnak. A feladat </w:t>
      </w:r>
      <w:r>
        <w:rPr>
          <w:rFonts w:ascii="Times New Roman" w:hAnsi="Times New Roman" w:cs="Times New Roman"/>
          <w:sz w:val="24"/>
          <w:szCs w:val="24"/>
        </w:rPr>
        <w:t xml:space="preserve">elsősorban </w:t>
      </w:r>
      <w:r w:rsidRPr="00361E0A">
        <w:rPr>
          <w:rFonts w:ascii="Times New Roman" w:hAnsi="Times New Roman" w:cs="Times New Roman"/>
          <w:sz w:val="24"/>
          <w:szCs w:val="24"/>
        </w:rPr>
        <w:t>a tetőhéjazat javítása, szükség esetén cseréje</w:t>
      </w:r>
      <w:r>
        <w:rPr>
          <w:rFonts w:ascii="Times New Roman" w:hAnsi="Times New Roman" w:cs="Times New Roman"/>
          <w:sz w:val="24"/>
          <w:szCs w:val="24"/>
        </w:rPr>
        <w:t>, illetőleg</w:t>
      </w:r>
      <w:r w:rsidRPr="00361E0A">
        <w:rPr>
          <w:rFonts w:ascii="Times New Roman" w:hAnsi="Times New Roman" w:cs="Times New Roman"/>
          <w:sz w:val="24"/>
          <w:szCs w:val="24"/>
        </w:rPr>
        <w:t xml:space="preserve"> a falazat rész</w:t>
      </w:r>
      <w:r>
        <w:rPr>
          <w:rFonts w:ascii="Times New Roman" w:hAnsi="Times New Roman" w:cs="Times New Roman"/>
          <w:sz w:val="24"/>
          <w:szCs w:val="24"/>
        </w:rPr>
        <w:t xml:space="preserve">leges cseréje és külső festése. </w:t>
      </w:r>
      <w:r w:rsidRPr="00361E0A">
        <w:rPr>
          <w:rFonts w:ascii="Times New Roman" w:hAnsi="Times New Roman" w:cs="Times New Roman"/>
          <w:sz w:val="24"/>
          <w:szCs w:val="24"/>
        </w:rPr>
        <w:t xml:space="preserve">A projekt várható költsége </w:t>
      </w:r>
      <w:r>
        <w:rPr>
          <w:rFonts w:ascii="Times New Roman" w:hAnsi="Times New Roman" w:cs="Times New Roman"/>
          <w:sz w:val="24"/>
          <w:szCs w:val="24"/>
        </w:rPr>
        <w:t>4.000 E Ft.</w:t>
      </w:r>
    </w:p>
    <w:p w:rsidR="00474B1C" w:rsidRDefault="00474B1C" w:rsidP="001146AE">
      <w:pPr>
        <w:spacing w:after="0" w:line="240" w:lineRule="auto"/>
        <w:jc w:val="both"/>
        <w:rPr>
          <w:rFonts w:ascii="Times New Roman" w:hAnsi="Times New Roman" w:cs="Times New Roman"/>
          <w:sz w:val="24"/>
          <w:szCs w:val="24"/>
        </w:rPr>
      </w:pPr>
    </w:p>
    <w:p w:rsidR="00474B1C" w:rsidRPr="00854ECE" w:rsidRDefault="00474B1C" w:rsidP="001146AE">
      <w:pPr>
        <w:spacing w:after="0" w:line="240" w:lineRule="auto"/>
        <w:jc w:val="both"/>
        <w:rPr>
          <w:rFonts w:ascii="Times New Roman" w:hAnsi="Times New Roman" w:cs="Times New Roman"/>
          <w:i/>
          <w:iCs/>
          <w:sz w:val="24"/>
          <w:szCs w:val="24"/>
        </w:rPr>
      </w:pPr>
      <w:r w:rsidRPr="00854ECE">
        <w:rPr>
          <w:rFonts w:ascii="Times New Roman" w:hAnsi="Times New Roman" w:cs="Times New Roman"/>
          <w:i/>
          <w:iCs/>
          <w:sz w:val="24"/>
          <w:szCs w:val="24"/>
        </w:rPr>
        <w:t xml:space="preserve">További éves fejlesztéseink és beruházásaink </w:t>
      </w:r>
      <w:r>
        <w:rPr>
          <w:rFonts w:ascii="Times New Roman" w:hAnsi="Times New Roman" w:cs="Times New Roman"/>
          <w:i/>
          <w:iCs/>
          <w:sz w:val="24"/>
          <w:szCs w:val="24"/>
        </w:rPr>
        <w:t>alakulása</w:t>
      </w:r>
      <w:r w:rsidRPr="00854ECE">
        <w:rPr>
          <w:rFonts w:ascii="Times New Roman" w:hAnsi="Times New Roman" w:cs="Times New Roman"/>
          <w:i/>
          <w:iCs/>
          <w:sz w:val="24"/>
          <w:szCs w:val="24"/>
        </w:rPr>
        <w:t>:</w:t>
      </w:r>
    </w:p>
    <w:p w:rsidR="00474B1C" w:rsidRPr="00FC6E60" w:rsidRDefault="00474B1C" w:rsidP="001146AE">
      <w:pPr>
        <w:spacing w:after="0" w:line="240" w:lineRule="auto"/>
        <w:ind w:left="360"/>
        <w:jc w:val="both"/>
        <w:rPr>
          <w:rFonts w:ascii="Times New Roman" w:hAnsi="Times New Roman" w:cs="Times New Roman"/>
          <w:sz w:val="24"/>
          <w:szCs w:val="24"/>
          <w:highlight w:val="yellow"/>
          <w:u w:val="single"/>
        </w:rPr>
      </w:pPr>
    </w:p>
    <w:p w:rsidR="00474B1C" w:rsidRPr="00FC6E60" w:rsidRDefault="00474B1C" w:rsidP="001146AE">
      <w:pPr>
        <w:pStyle w:val="Listaszerbekezds"/>
        <w:numPr>
          <w:ilvl w:val="0"/>
          <w:numId w:val="14"/>
        </w:numPr>
        <w:spacing w:after="0" w:line="240" w:lineRule="auto"/>
        <w:jc w:val="both"/>
        <w:rPr>
          <w:rFonts w:ascii="Times New Roman" w:hAnsi="Times New Roman" w:cs="Times New Roman"/>
          <w:sz w:val="24"/>
          <w:szCs w:val="24"/>
        </w:rPr>
      </w:pPr>
      <w:r w:rsidRPr="00FC6E60">
        <w:rPr>
          <w:rFonts w:ascii="Times New Roman" w:hAnsi="Times New Roman" w:cs="Times New Roman"/>
          <w:sz w:val="24"/>
          <w:szCs w:val="24"/>
        </w:rPr>
        <w:t>Magyarság Sporttelep 2016-ban megkezdett rekonstrukciójának folytatása: az edzőpályaként használt „Fű 2-es” futballpálya felújítása,</w:t>
      </w:r>
    </w:p>
    <w:p w:rsidR="00474B1C" w:rsidRPr="00FC6E60" w:rsidRDefault="00474B1C" w:rsidP="001146AE">
      <w:pPr>
        <w:spacing w:after="0" w:line="240" w:lineRule="auto"/>
        <w:jc w:val="both"/>
        <w:rPr>
          <w:rFonts w:ascii="Times New Roman" w:hAnsi="Times New Roman" w:cs="Times New Roman"/>
          <w:sz w:val="24"/>
          <w:szCs w:val="24"/>
        </w:rPr>
      </w:pPr>
    </w:p>
    <w:p w:rsidR="00474B1C" w:rsidRPr="00FC6E60" w:rsidRDefault="00474B1C" w:rsidP="001146AE">
      <w:pPr>
        <w:pStyle w:val="Listaszerbekezds"/>
        <w:numPr>
          <w:ilvl w:val="0"/>
          <w:numId w:val="14"/>
        </w:numPr>
        <w:spacing w:after="0" w:line="240" w:lineRule="auto"/>
        <w:jc w:val="both"/>
        <w:rPr>
          <w:rFonts w:ascii="Times New Roman" w:hAnsi="Times New Roman" w:cs="Times New Roman"/>
          <w:sz w:val="24"/>
          <w:szCs w:val="24"/>
        </w:rPr>
      </w:pPr>
      <w:r w:rsidRPr="00FC6E60">
        <w:rPr>
          <w:rFonts w:ascii="Times New Roman" w:hAnsi="Times New Roman" w:cs="Times New Roman"/>
          <w:sz w:val="24"/>
          <w:szCs w:val="24"/>
        </w:rPr>
        <w:t>Balatonakarattyai gyermeküdülő építésének befejezése, a kész épület bútorozása, használatba vétele</w:t>
      </w:r>
      <w:r>
        <w:rPr>
          <w:rFonts w:ascii="Times New Roman" w:hAnsi="Times New Roman" w:cs="Times New Roman"/>
          <w:sz w:val="24"/>
          <w:szCs w:val="24"/>
        </w:rPr>
        <w:t>,</w:t>
      </w:r>
    </w:p>
    <w:p w:rsidR="00474B1C" w:rsidRPr="00FC6E60" w:rsidRDefault="00474B1C" w:rsidP="001146AE">
      <w:pPr>
        <w:spacing w:after="0" w:line="240" w:lineRule="auto"/>
        <w:jc w:val="both"/>
        <w:rPr>
          <w:rFonts w:ascii="Times New Roman" w:hAnsi="Times New Roman" w:cs="Times New Roman"/>
          <w:sz w:val="24"/>
          <w:szCs w:val="24"/>
        </w:rPr>
      </w:pPr>
    </w:p>
    <w:p w:rsidR="00474B1C" w:rsidRPr="00FC6E60" w:rsidRDefault="00474B1C" w:rsidP="001146AE">
      <w:pPr>
        <w:pStyle w:val="Listaszerbekezds"/>
        <w:numPr>
          <w:ilvl w:val="0"/>
          <w:numId w:val="14"/>
        </w:numPr>
        <w:spacing w:after="0" w:line="240" w:lineRule="auto"/>
        <w:jc w:val="both"/>
        <w:rPr>
          <w:rFonts w:ascii="Times New Roman" w:hAnsi="Times New Roman" w:cs="Times New Roman"/>
          <w:sz w:val="24"/>
          <w:szCs w:val="24"/>
        </w:rPr>
      </w:pPr>
      <w:r w:rsidRPr="00FC6E60">
        <w:rPr>
          <w:rFonts w:ascii="Times New Roman" w:hAnsi="Times New Roman" w:cs="Times New Roman"/>
          <w:sz w:val="24"/>
          <w:szCs w:val="24"/>
        </w:rPr>
        <w:t>Szakorvosi Rendelőintézet épületében található közösségi vizesblokkok teljes körű felújítása, az épületgépészeti rendszer rekonstrukciója</w:t>
      </w:r>
      <w:r>
        <w:rPr>
          <w:rFonts w:ascii="Times New Roman" w:hAnsi="Times New Roman" w:cs="Times New Roman"/>
          <w:sz w:val="24"/>
          <w:szCs w:val="24"/>
        </w:rPr>
        <w:t>,</w:t>
      </w:r>
    </w:p>
    <w:p w:rsidR="00474B1C" w:rsidRPr="00FC6E60" w:rsidRDefault="00474B1C" w:rsidP="001146AE">
      <w:pPr>
        <w:spacing w:after="0" w:line="240" w:lineRule="auto"/>
        <w:jc w:val="both"/>
        <w:rPr>
          <w:rFonts w:ascii="Times New Roman" w:hAnsi="Times New Roman" w:cs="Times New Roman"/>
          <w:sz w:val="24"/>
          <w:szCs w:val="24"/>
        </w:rPr>
      </w:pPr>
    </w:p>
    <w:p w:rsidR="00474B1C" w:rsidRPr="00FC6E60" w:rsidRDefault="00474B1C" w:rsidP="001146AE">
      <w:pPr>
        <w:pStyle w:val="Listaszerbekezds"/>
        <w:numPr>
          <w:ilvl w:val="0"/>
          <w:numId w:val="14"/>
        </w:numPr>
        <w:spacing w:after="0" w:line="240" w:lineRule="auto"/>
        <w:jc w:val="both"/>
        <w:rPr>
          <w:rFonts w:ascii="Times New Roman" w:hAnsi="Times New Roman" w:cs="Times New Roman"/>
          <w:sz w:val="24"/>
          <w:szCs w:val="24"/>
        </w:rPr>
      </w:pPr>
      <w:r w:rsidRPr="00FC6E60">
        <w:rPr>
          <w:rFonts w:ascii="Times New Roman" w:hAnsi="Times New Roman" w:cs="Times New Roman"/>
          <w:sz w:val="24"/>
          <w:szCs w:val="24"/>
        </w:rPr>
        <w:t>Harcművészeti Központ –vizesblokk teljes körű felújítása</w:t>
      </w:r>
      <w:r>
        <w:rPr>
          <w:rFonts w:ascii="Times New Roman" w:hAnsi="Times New Roman" w:cs="Times New Roman"/>
          <w:sz w:val="24"/>
          <w:szCs w:val="24"/>
        </w:rPr>
        <w:t>,</w:t>
      </w:r>
    </w:p>
    <w:p w:rsidR="00474B1C" w:rsidRPr="00FC6E60" w:rsidRDefault="00474B1C" w:rsidP="001146AE">
      <w:pPr>
        <w:spacing w:after="0" w:line="240" w:lineRule="auto"/>
        <w:jc w:val="both"/>
        <w:rPr>
          <w:rFonts w:ascii="Times New Roman" w:hAnsi="Times New Roman" w:cs="Times New Roman"/>
          <w:sz w:val="24"/>
          <w:szCs w:val="24"/>
        </w:rPr>
      </w:pPr>
    </w:p>
    <w:p w:rsidR="00474B1C" w:rsidRPr="00FC6E60" w:rsidRDefault="00474B1C" w:rsidP="001146AE">
      <w:pPr>
        <w:pStyle w:val="Listaszerbekezds"/>
        <w:numPr>
          <w:ilvl w:val="0"/>
          <w:numId w:val="14"/>
        </w:numPr>
        <w:spacing w:after="0" w:line="240" w:lineRule="auto"/>
        <w:jc w:val="both"/>
        <w:rPr>
          <w:rFonts w:ascii="Times New Roman" w:hAnsi="Times New Roman" w:cs="Times New Roman"/>
          <w:sz w:val="24"/>
          <w:szCs w:val="24"/>
        </w:rPr>
      </w:pPr>
      <w:r w:rsidRPr="00FC6E60">
        <w:rPr>
          <w:rFonts w:ascii="Times New Roman" w:hAnsi="Times New Roman" w:cs="Times New Roman"/>
          <w:sz w:val="24"/>
          <w:szCs w:val="24"/>
        </w:rPr>
        <w:t>Kinizsi Sporttelep – Fóti úti utcafronti kerítés átépítése</w:t>
      </w:r>
    </w:p>
    <w:p w:rsidR="00474B1C" w:rsidRPr="00DD2D1E" w:rsidRDefault="00474B1C" w:rsidP="001146AE">
      <w:pPr>
        <w:rPr>
          <w:rFonts w:ascii="Times New Roman" w:hAnsi="Times New Roman" w:cs="Times New Roman"/>
          <w:b/>
          <w:bCs/>
          <w:i/>
          <w:iCs/>
          <w:sz w:val="28"/>
          <w:szCs w:val="28"/>
        </w:rPr>
      </w:pPr>
    </w:p>
    <w:p w:rsidR="00474B1C" w:rsidRDefault="00474B1C" w:rsidP="001146AE">
      <w:pPr>
        <w:pStyle w:val="Listaszerbekezds"/>
        <w:numPr>
          <w:ilvl w:val="0"/>
          <w:numId w:val="1"/>
        </w:numPr>
        <w:jc w:val="center"/>
        <w:rPr>
          <w:rFonts w:ascii="Times New Roman" w:hAnsi="Times New Roman" w:cs="Times New Roman"/>
          <w:b/>
          <w:bCs/>
          <w:sz w:val="28"/>
          <w:szCs w:val="28"/>
        </w:rPr>
      </w:pPr>
      <w:r w:rsidRPr="00702DAE">
        <w:rPr>
          <w:rFonts w:ascii="Times New Roman" w:hAnsi="Times New Roman" w:cs="Times New Roman"/>
          <w:b/>
          <w:bCs/>
          <w:sz w:val="28"/>
          <w:szCs w:val="28"/>
        </w:rPr>
        <w:t>A társaság 2017. évi tervszámai</w:t>
      </w:r>
    </w:p>
    <w:p w:rsidR="00474B1C" w:rsidRPr="00702DAE" w:rsidRDefault="00474B1C" w:rsidP="001146AE">
      <w:pPr>
        <w:pStyle w:val="Listaszerbekezds"/>
        <w:jc w:val="center"/>
        <w:rPr>
          <w:rFonts w:ascii="Times New Roman" w:hAnsi="Times New Roman" w:cs="Times New Roman"/>
          <w:b/>
          <w:bCs/>
          <w:sz w:val="28"/>
          <w:szCs w:val="28"/>
        </w:rPr>
      </w:pPr>
    </w:p>
    <w:p w:rsidR="00474B1C" w:rsidRDefault="00474B1C" w:rsidP="001146AE">
      <w:pPr>
        <w:spacing w:after="0"/>
        <w:ind w:left="357"/>
        <w:jc w:val="both"/>
        <w:rPr>
          <w:rFonts w:ascii="Times New Roman" w:hAnsi="Times New Roman" w:cs="Times New Roman"/>
          <w:sz w:val="24"/>
          <w:szCs w:val="24"/>
        </w:rPr>
      </w:pPr>
      <w:r>
        <w:rPr>
          <w:rFonts w:ascii="Times New Roman" w:hAnsi="Times New Roman" w:cs="Times New Roman"/>
          <w:sz w:val="24"/>
          <w:szCs w:val="24"/>
        </w:rPr>
        <w:t xml:space="preserve">A 3. és 4. fejezetben meghatározott feltételek és célok mentén állítottuk össze a társaság 2017. évi eredménytervét. Általánosságban megállapítható, hogy az anyagjellegű ráfordítások növekményét a várható infláció mértékével megegyezően (2,4%-ban) határoztuk meg. </w:t>
      </w:r>
    </w:p>
    <w:p w:rsidR="00474B1C" w:rsidRDefault="00474B1C" w:rsidP="001146AE">
      <w:pPr>
        <w:spacing w:after="0"/>
        <w:ind w:left="357"/>
        <w:jc w:val="both"/>
        <w:rPr>
          <w:rFonts w:ascii="Times New Roman" w:hAnsi="Times New Roman" w:cs="Times New Roman"/>
          <w:sz w:val="24"/>
          <w:szCs w:val="24"/>
        </w:rPr>
      </w:pPr>
    </w:p>
    <w:p w:rsidR="00474B1C" w:rsidRDefault="00474B1C" w:rsidP="001146AE">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A személyi jellegű ráfordítások esetében is figyelembe vettük az MNB által prognosztizált 9%-os bruttó átlagkereset-növekedést, amit terveink szerint két változás együttes hatásaként érünk el. Egyrészről figyelembe vettük a szociális hozzájárulási adó 2017. évi csökkentését, amely a bérjárulékok mértékét 28,5%-ról 23,5%-ra csökkenti. A megtakarított járulékok összegét a bérek növelésére tudjuk fordítani, ami 2017. január 1-jétől több, mint 4%-os keresetnövekedést jelent a munkavállalók számára, anélkül, hogy a személyi jellegű ráfordítások összege érdemben változna. </w:t>
      </w:r>
    </w:p>
    <w:p w:rsidR="00474B1C" w:rsidRDefault="00474B1C" w:rsidP="001146AE">
      <w:pPr>
        <w:spacing w:after="0"/>
        <w:ind w:left="360"/>
        <w:jc w:val="both"/>
        <w:rPr>
          <w:rFonts w:ascii="Times New Roman" w:hAnsi="Times New Roman" w:cs="Times New Roman"/>
          <w:sz w:val="24"/>
          <w:szCs w:val="24"/>
        </w:rPr>
      </w:pPr>
    </w:p>
    <w:p w:rsidR="00474B1C" w:rsidRDefault="00474B1C" w:rsidP="001146AE">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A további keresetnövekedés másik forrása az a bérmegtakarítás, amelyet a Tankerületnek átadott munkavállalók juttatásaiból érünk el. Ezen juttatások béremelésre fordításán túlmenően közel 4%-os bértömeg-növekedést prognosztizálunk ahhoz, hogy az elvárt </w:t>
      </w:r>
      <w:r>
        <w:rPr>
          <w:rFonts w:ascii="Times New Roman" w:hAnsi="Times New Roman" w:cs="Times New Roman"/>
          <w:sz w:val="24"/>
          <w:szCs w:val="24"/>
        </w:rPr>
        <w:lastRenderedPageBreak/>
        <w:t>átlagkereset-emelkedést elérjük. A távhővezeték fejlesztésére korábbi években képzett céltartalék feloldása 2017. évben egyéb bevételként fog realizálódni, amely csökkenti a tárgyévi veszteség mértékét.</w:t>
      </w:r>
    </w:p>
    <w:p w:rsidR="00474B1C" w:rsidRDefault="00474B1C" w:rsidP="001146AE">
      <w:pPr>
        <w:spacing w:after="0"/>
        <w:ind w:left="360"/>
        <w:jc w:val="both"/>
        <w:rPr>
          <w:rFonts w:ascii="Times New Roman" w:hAnsi="Times New Roman" w:cs="Times New Roman"/>
          <w:sz w:val="24"/>
          <w:szCs w:val="24"/>
        </w:rPr>
      </w:pPr>
    </w:p>
    <w:p w:rsidR="00474B1C" w:rsidRDefault="00474B1C" w:rsidP="001146AE">
      <w:pPr>
        <w:spacing w:after="0"/>
        <w:ind w:left="360"/>
        <w:jc w:val="both"/>
        <w:rPr>
          <w:rFonts w:ascii="Times New Roman" w:hAnsi="Times New Roman" w:cs="Times New Roman"/>
          <w:sz w:val="24"/>
          <w:szCs w:val="24"/>
        </w:rPr>
      </w:pPr>
      <w:r>
        <w:rPr>
          <w:rFonts w:ascii="Times New Roman" w:hAnsi="Times New Roman" w:cs="Times New Roman"/>
          <w:sz w:val="24"/>
          <w:szCs w:val="24"/>
        </w:rPr>
        <w:t>Az értékcsökkenés tervezésénél számoltunk a 2017. évi beruházások aktiválása során keletkező többlettel, illetőleg a vagyonkezelt eszközök várható értéknövekményének amortizációra gyakorolt hatásával, így az értékcsökkenés közel 11,7%-al fog várhatóan növekedni a 2016. évi bázishoz képest.</w:t>
      </w:r>
    </w:p>
    <w:p w:rsidR="00474B1C" w:rsidRDefault="00474B1C" w:rsidP="001146AE">
      <w:pPr>
        <w:spacing w:after="0"/>
        <w:ind w:left="360"/>
        <w:jc w:val="both"/>
        <w:rPr>
          <w:rFonts w:ascii="Times New Roman" w:hAnsi="Times New Roman" w:cs="Times New Roman"/>
          <w:sz w:val="24"/>
          <w:szCs w:val="24"/>
        </w:rPr>
      </w:pPr>
    </w:p>
    <w:p w:rsidR="00474B1C" w:rsidRDefault="00474B1C" w:rsidP="001146AE">
      <w:pPr>
        <w:spacing w:after="0"/>
        <w:ind w:left="360"/>
        <w:jc w:val="both"/>
        <w:rPr>
          <w:rFonts w:ascii="Times New Roman" w:hAnsi="Times New Roman" w:cs="Times New Roman"/>
          <w:sz w:val="24"/>
          <w:szCs w:val="24"/>
        </w:rPr>
      </w:pPr>
      <w:r>
        <w:rPr>
          <w:rFonts w:ascii="Times New Roman" w:hAnsi="Times New Roman" w:cs="Times New Roman"/>
          <w:sz w:val="24"/>
          <w:szCs w:val="24"/>
        </w:rPr>
        <w:t>Az oktatási intézmények üzemeltetésének kiesése az árbevételeket és a továbbszámlázott díjak csökkenésén keresztül a közvetített szolgáltatások értékét is csökkenteni fogja. A hulladék-lerakási díj többletköltsége az igénybe vett szolgáltatások értékét társasági szinten közel 38,7%-al emeli meg.</w:t>
      </w:r>
    </w:p>
    <w:p w:rsidR="00474B1C" w:rsidRDefault="00474B1C" w:rsidP="001146AE">
      <w:pPr>
        <w:spacing w:after="0"/>
        <w:ind w:left="360"/>
        <w:jc w:val="both"/>
        <w:rPr>
          <w:rFonts w:ascii="Times New Roman" w:hAnsi="Times New Roman" w:cs="Times New Roman"/>
          <w:sz w:val="24"/>
          <w:szCs w:val="24"/>
        </w:rPr>
      </w:pPr>
    </w:p>
    <w:p w:rsidR="00474B1C" w:rsidRDefault="00474B1C" w:rsidP="001146AE">
      <w:pPr>
        <w:spacing w:after="0"/>
        <w:ind w:left="360"/>
        <w:jc w:val="both"/>
        <w:rPr>
          <w:rFonts w:ascii="Times New Roman" w:hAnsi="Times New Roman" w:cs="Times New Roman"/>
          <w:sz w:val="24"/>
          <w:szCs w:val="24"/>
        </w:rPr>
      </w:pPr>
      <w:r>
        <w:rPr>
          <w:rFonts w:ascii="Times New Roman" w:hAnsi="Times New Roman" w:cs="Times New Roman"/>
          <w:sz w:val="24"/>
          <w:szCs w:val="24"/>
        </w:rPr>
        <w:t>Árbevételeinket tekintve a legtöbb tevékenységnél a bázis szintet vettük alapul, a vagyongazdálkodás árbevétele az oktatási intézmények felé továbbszámlázott közvetített szolgáltatások értékével csökken. 2017. évben a 2016. évinél alacsonyabb beruházási volumennel számolunk a vagyonkezelt eszközök tekintetében, amely a tavalyi évhez képest csökkenti az egyéb bevételek és egyéb ráfordítások értékét is.</w:t>
      </w:r>
    </w:p>
    <w:p w:rsidR="00474B1C" w:rsidRDefault="00474B1C" w:rsidP="001146AE">
      <w:pPr>
        <w:spacing w:after="0"/>
        <w:ind w:left="360"/>
        <w:jc w:val="both"/>
        <w:rPr>
          <w:rFonts w:ascii="Times New Roman" w:hAnsi="Times New Roman" w:cs="Times New Roman"/>
          <w:sz w:val="24"/>
          <w:szCs w:val="24"/>
        </w:rPr>
      </w:pPr>
    </w:p>
    <w:p w:rsidR="00474B1C" w:rsidRDefault="00474B1C" w:rsidP="001146AE">
      <w:pPr>
        <w:spacing w:after="0"/>
        <w:ind w:left="360"/>
        <w:jc w:val="both"/>
        <w:rPr>
          <w:rFonts w:ascii="Times New Roman" w:hAnsi="Times New Roman" w:cs="Times New Roman"/>
          <w:sz w:val="24"/>
          <w:szCs w:val="24"/>
        </w:rPr>
      </w:pPr>
      <w:r>
        <w:rPr>
          <w:rFonts w:ascii="Times New Roman" w:hAnsi="Times New Roman" w:cs="Times New Roman"/>
          <w:sz w:val="24"/>
          <w:szCs w:val="24"/>
        </w:rPr>
        <w:t>Minden tényezőt egybe véve az adózás előtti eredmény közel a bázis év szintjén alakul. A távhő-ágazat és a temető fenntartás a korábbi évekhez hasonlóan nyereséges marad, a megnövekedett égetési díj a hulladékágazatot veszteségessé teszi, míg a további tevékenységek veszteségesek maradnak, bár az intézményi kör szűkülése a városgazdálkodási tevékenység veszteségeit némiképp csökkenti. Számításaink végeredményeit az alábbi táblázatokban foglaljuk össze társasági szinten, illetve a feladat-ellátási üzletágak szerinti csoportosításban.</w:t>
      </w:r>
    </w:p>
    <w:p w:rsidR="00474B1C" w:rsidRDefault="00474B1C" w:rsidP="001146AE">
      <w:pPr>
        <w:spacing w:after="0"/>
        <w:jc w:val="both"/>
        <w:rPr>
          <w:rFonts w:ascii="Times New Roman" w:hAnsi="Times New Roman" w:cs="Times New Roman"/>
          <w:sz w:val="24"/>
          <w:szCs w:val="24"/>
        </w:rPr>
      </w:pPr>
    </w:p>
    <w:p w:rsidR="00474B1C" w:rsidRPr="00E937AE"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A Dunakeszi Közüzemi Nkft. 2017. évi eredményterve</w:t>
      </w:r>
    </w:p>
    <w:p w:rsidR="00474B1C" w:rsidRPr="00165020"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(Adatok E Ft-ban)</w:t>
      </w:r>
    </w:p>
    <w:tbl>
      <w:tblPr>
        <w:tblW w:w="8400" w:type="dxa"/>
        <w:tblInd w:w="-68" w:type="dxa"/>
        <w:tblCellMar>
          <w:left w:w="70" w:type="dxa"/>
          <w:right w:w="70" w:type="dxa"/>
        </w:tblCellMar>
        <w:tblLook w:val="00A0"/>
      </w:tblPr>
      <w:tblGrid>
        <w:gridCol w:w="4987"/>
        <w:gridCol w:w="1173"/>
        <w:gridCol w:w="1180"/>
        <w:gridCol w:w="1060"/>
      </w:tblGrid>
      <w:tr w:rsidR="00474B1C" w:rsidRPr="00FC0A19">
        <w:trPr>
          <w:trHeight w:val="645"/>
        </w:trPr>
        <w:tc>
          <w:tcPr>
            <w:tcW w:w="4987" w:type="dxa"/>
            <w:tcBorders>
              <w:top w:val="double" w:sz="6" w:space="0" w:color="000000"/>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c>
          <w:tcPr>
            <w:tcW w:w="1173" w:type="dxa"/>
            <w:tcBorders>
              <w:top w:val="double" w:sz="6" w:space="0" w:color="000000"/>
              <w:left w:val="nil"/>
              <w:bottom w:val="single" w:sz="4" w:space="0" w:color="000000"/>
              <w:right w:val="single" w:sz="4" w:space="0" w:color="000000"/>
            </w:tcBorders>
            <w:shd w:val="clear" w:color="000000" w:fill="BFBFBF"/>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2016 várható</w:t>
            </w:r>
          </w:p>
        </w:tc>
        <w:tc>
          <w:tcPr>
            <w:tcW w:w="1180" w:type="dxa"/>
            <w:tcBorders>
              <w:top w:val="double" w:sz="6" w:space="0" w:color="000000"/>
              <w:left w:val="nil"/>
              <w:bottom w:val="single" w:sz="4" w:space="0" w:color="000000"/>
              <w:right w:val="single" w:sz="4" w:space="0" w:color="000000"/>
            </w:tcBorders>
            <w:shd w:val="clear" w:color="000000" w:fill="BFBFBF"/>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2017 terv</w:t>
            </w:r>
          </w:p>
        </w:tc>
        <w:tc>
          <w:tcPr>
            <w:tcW w:w="1060" w:type="dxa"/>
            <w:tcBorders>
              <w:top w:val="double" w:sz="6" w:space="0" w:color="000000"/>
              <w:left w:val="nil"/>
              <w:bottom w:val="single" w:sz="4" w:space="0" w:color="000000"/>
              <w:right w:val="double" w:sz="6" w:space="0" w:color="000000"/>
            </w:tcBorders>
            <w:shd w:val="clear" w:color="000000" w:fill="BFBFBF"/>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Változás</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Értékesítés nettó árbevétele</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1 499 192</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1 424 090</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95,01%</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bevételek</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769 705</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610 475</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w:t>
            </w:r>
            <w:r>
              <w:rPr>
                <w:rFonts w:ascii="Times New Roman" w:hAnsi="Times New Roman" w:cs="Times New Roman"/>
                <w:color w:val="000000"/>
                <w:sz w:val="24"/>
                <w:szCs w:val="24"/>
                <w:lang w:eastAsia="hu-HU"/>
              </w:rPr>
              <w:t>9</w:t>
            </w:r>
            <w:r w:rsidRPr="007B55B8">
              <w:rPr>
                <w:rFonts w:ascii="Times New Roman" w:hAnsi="Times New Roman" w:cs="Times New Roman"/>
                <w:color w:val="000000"/>
                <w:sz w:val="24"/>
                <w:szCs w:val="24"/>
                <w:lang w:eastAsia="hu-HU"/>
              </w:rPr>
              <w:t>,3</w:t>
            </w:r>
            <w:r>
              <w:rPr>
                <w:rFonts w:ascii="Times New Roman" w:hAnsi="Times New Roman" w:cs="Times New Roman"/>
                <w:color w:val="000000"/>
                <w:sz w:val="24"/>
                <w:szCs w:val="24"/>
                <w:lang w:eastAsia="hu-HU"/>
              </w:rPr>
              <w:t>1</w:t>
            </w:r>
            <w:r w:rsidRPr="007B55B8">
              <w:rPr>
                <w:rFonts w:ascii="Times New Roman" w:hAnsi="Times New Roman" w:cs="Times New Roman"/>
                <w:color w:val="000000"/>
                <w:sz w:val="24"/>
                <w:szCs w:val="24"/>
                <w:lang w:eastAsia="hu-HU"/>
              </w:rPr>
              <w:t>%</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Pénzügyi műveletek bevételei</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943</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1 000</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106,04%</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BEVÉTELEK ÖSSZESEN</w:t>
            </w:r>
          </w:p>
        </w:tc>
        <w:tc>
          <w:tcPr>
            <w:tcW w:w="1173"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b/>
                <w:bCs/>
                <w:i/>
                <w:iCs/>
                <w:color w:val="000000"/>
                <w:sz w:val="24"/>
                <w:szCs w:val="24"/>
                <w:lang w:eastAsia="hu-HU"/>
              </w:rPr>
            </w:pPr>
            <w:r>
              <w:rPr>
                <w:rFonts w:ascii="Times New Roman" w:hAnsi="Times New Roman" w:cs="Times New Roman"/>
                <w:b/>
                <w:bCs/>
                <w:i/>
                <w:iCs/>
                <w:color w:val="000000"/>
                <w:sz w:val="24"/>
                <w:szCs w:val="24"/>
                <w:lang w:eastAsia="hu-HU"/>
              </w:rPr>
              <w:t>2 269 840</w:t>
            </w:r>
          </w:p>
        </w:tc>
        <w:tc>
          <w:tcPr>
            <w:tcW w:w="1180"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b/>
                <w:bCs/>
                <w:i/>
                <w:iCs/>
                <w:color w:val="000000"/>
                <w:sz w:val="24"/>
                <w:szCs w:val="24"/>
                <w:lang w:eastAsia="hu-HU"/>
              </w:rPr>
            </w:pPr>
            <w:r>
              <w:rPr>
                <w:rFonts w:ascii="Times New Roman" w:hAnsi="Times New Roman" w:cs="Times New Roman"/>
                <w:b/>
                <w:bCs/>
                <w:i/>
                <w:iCs/>
                <w:color w:val="000000"/>
                <w:sz w:val="24"/>
                <w:szCs w:val="24"/>
                <w:lang w:eastAsia="hu-HU"/>
              </w:rPr>
              <w:t>2 035 853</w:t>
            </w:r>
          </w:p>
        </w:tc>
        <w:tc>
          <w:tcPr>
            <w:tcW w:w="1060" w:type="dxa"/>
            <w:tcBorders>
              <w:top w:val="nil"/>
              <w:left w:val="nil"/>
              <w:bottom w:val="single" w:sz="4" w:space="0" w:color="000000"/>
              <w:right w:val="double" w:sz="6"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b/>
                <w:bCs/>
                <w:i/>
                <w:iCs/>
                <w:color w:val="000000"/>
                <w:sz w:val="24"/>
                <w:szCs w:val="24"/>
                <w:lang w:eastAsia="hu-HU"/>
              </w:rPr>
            </w:pPr>
            <w:r w:rsidRPr="007B55B8">
              <w:rPr>
                <w:rFonts w:ascii="Times New Roman" w:hAnsi="Times New Roman" w:cs="Times New Roman"/>
                <w:b/>
                <w:bCs/>
                <w:i/>
                <w:iCs/>
                <w:color w:val="000000"/>
                <w:sz w:val="24"/>
                <w:szCs w:val="24"/>
                <w:lang w:eastAsia="hu-HU"/>
              </w:rPr>
              <w:t>89,</w:t>
            </w:r>
            <w:r>
              <w:rPr>
                <w:rFonts w:ascii="Times New Roman" w:hAnsi="Times New Roman" w:cs="Times New Roman"/>
                <w:b/>
                <w:bCs/>
                <w:i/>
                <w:iCs/>
                <w:color w:val="000000"/>
                <w:sz w:val="24"/>
                <w:szCs w:val="24"/>
                <w:lang w:eastAsia="hu-HU"/>
              </w:rPr>
              <w:t>69</w:t>
            </w:r>
            <w:r w:rsidRPr="007B55B8">
              <w:rPr>
                <w:rFonts w:ascii="Times New Roman" w:hAnsi="Times New Roman" w:cs="Times New Roman"/>
                <w:b/>
                <w:bCs/>
                <w:i/>
                <w:iCs/>
                <w:color w:val="000000"/>
                <w:sz w:val="24"/>
                <w:szCs w:val="24"/>
                <w:lang w:eastAsia="hu-HU"/>
              </w:rPr>
              <w:t>%</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Anyagköltség</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589 </w:t>
            </w:r>
            <w:r>
              <w:rPr>
                <w:rFonts w:ascii="Times New Roman" w:hAnsi="Times New Roman" w:cs="Times New Roman"/>
                <w:color w:val="000000"/>
                <w:sz w:val="24"/>
                <w:szCs w:val="24"/>
                <w:lang w:eastAsia="hu-HU"/>
              </w:rPr>
              <w:t>533</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529 </w:t>
            </w:r>
            <w:r>
              <w:rPr>
                <w:rFonts w:ascii="Times New Roman" w:hAnsi="Times New Roman" w:cs="Times New Roman"/>
                <w:color w:val="000000"/>
                <w:sz w:val="24"/>
                <w:szCs w:val="24"/>
                <w:lang w:eastAsia="hu-HU"/>
              </w:rPr>
              <w:t>859</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89,88%</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Igénybevett szolgáltatások értéke</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334 338</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463 527</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138,</w:t>
            </w:r>
            <w:r>
              <w:rPr>
                <w:rFonts w:ascii="Times New Roman" w:hAnsi="Times New Roman" w:cs="Times New Roman"/>
                <w:color w:val="000000"/>
                <w:sz w:val="24"/>
                <w:szCs w:val="24"/>
                <w:lang w:eastAsia="hu-HU"/>
              </w:rPr>
              <w:t>64</w:t>
            </w:r>
            <w:r w:rsidRPr="007B55B8">
              <w:rPr>
                <w:rFonts w:ascii="Times New Roman" w:hAnsi="Times New Roman" w:cs="Times New Roman"/>
                <w:color w:val="000000"/>
                <w:sz w:val="24"/>
                <w:szCs w:val="24"/>
                <w:lang w:eastAsia="hu-HU"/>
              </w:rPr>
              <w:t>%</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szolgáltatások értéke</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29 385</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30 090</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Eladott áruk beszerzési értéke</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4 886</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5 004</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Közvetített szolgáltatások értéke</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382 225</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283 710</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74,23%</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Személyi jellegű ráfordítások összesen</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460 490</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429 </w:t>
            </w:r>
            <w:r>
              <w:rPr>
                <w:rFonts w:ascii="Times New Roman" w:hAnsi="Times New Roman" w:cs="Times New Roman"/>
                <w:color w:val="000000"/>
                <w:sz w:val="24"/>
                <w:szCs w:val="24"/>
                <w:lang w:eastAsia="hu-HU"/>
              </w:rPr>
              <w:t>439</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93,26</w:t>
            </w:r>
            <w:r w:rsidRPr="007B55B8">
              <w:rPr>
                <w:rFonts w:ascii="Times New Roman" w:hAnsi="Times New Roman" w:cs="Times New Roman"/>
                <w:color w:val="000000"/>
                <w:sz w:val="24"/>
                <w:szCs w:val="24"/>
                <w:lang w:eastAsia="hu-HU"/>
              </w:rPr>
              <w:t>%</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Értékcsökkenési leírás</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141 550</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156 522</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110</w:t>
            </w:r>
            <w:r w:rsidRPr="007B55B8">
              <w:rPr>
                <w:rFonts w:ascii="Times New Roman" w:hAnsi="Times New Roman" w:cs="Times New Roman"/>
                <w:color w:val="000000"/>
                <w:sz w:val="24"/>
                <w:szCs w:val="24"/>
                <w:lang w:eastAsia="hu-HU"/>
              </w:rPr>
              <w:t>,</w:t>
            </w:r>
            <w:r>
              <w:rPr>
                <w:rFonts w:ascii="Times New Roman" w:hAnsi="Times New Roman" w:cs="Times New Roman"/>
                <w:color w:val="000000"/>
                <w:sz w:val="24"/>
                <w:szCs w:val="24"/>
                <w:lang w:eastAsia="hu-HU"/>
              </w:rPr>
              <w:t>58</w:t>
            </w:r>
            <w:r w:rsidRPr="007B55B8">
              <w:rPr>
                <w:rFonts w:ascii="Times New Roman" w:hAnsi="Times New Roman" w:cs="Times New Roman"/>
                <w:color w:val="000000"/>
                <w:sz w:val="24"/>
                <w:szCs w:val="24"/>
                <w:lang w:eastAsia="hu-HU"/>
              </w:rPr>
              <w:t>%</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lastRenderedPageBreak/>
              <w:t>Egyéb ráfordítások</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613 467</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424 544</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w:t>
            </w:r>
            <w:r>
              <w:rPr>
                <w:rFonts w:ascii="Times New Roman" w:hAnsi="Times New Roman" w:cs="Times New Roman"/>
                <w:color w:val="000000"/>
                <w:sz w:val="24"/>
                <w:szCs w:val="24"/>
                <w:lang w:eastAsia="hu-HU"/>
              </w:rPr>
              <w:t>9</w:t>
            </w:r>
            <w:r w:rsidRPr="007B55B8">
              <w:rPr>
                <w:rFonts w:ascii="Times New Roman" w:hAnsi="Times New Roman" w:cs="Times New Roman"/>
                <w:color w:val="000000"/>
                <w:sz w:val="24"/>
                <w:szCs w:val="24"/>
                <w:lang w:eastAsia="hu-HU"/>
              </w:rPr>
              <w:t>,</w:t>
            </w:r>
            <w:r>
              <w:rPr>
                <w:rFonts w:ascii="Times New Roman" w:hAnsi="Times New Roman" w:cs="Times New Roman"/>
                <w:color w:val="000000"/>
                <w:sz w:val="24"/>
                <w:szCs w:val="24"/>
                <w:lang w:eastAsia="hu-HU"/>
              </w:rPr>
              <w:t>20</w:t>
            </w:r>
            <w:r w:rsidRPr="007B55B8">
              <w:rPr>
                <w:rFonts w:ascii="Times New Roman" w:hAnsi="Times New Roman" w:cs="Times New Roman"/>
                <w:color w:val="000000"/>
                <w:sz w:val="24"/>
                <w:szCs w:val="24"/>
                <w:lang w:eastAsia="hu-HU"/>
              </w:rPr>
              <w:t>%</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Pénzügyi műveletek ráfordításai</w:t>
            </w:r>
          </w:p>
        </w:tc>
        <w:tc>
          <w:tcPr>
            <w:tcW w:w="1173"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321</w:t>
            </w:r>
          </w:p>
        </w:tc>
        <w:tc>
          <w:tcPr>
            <w:tcW w:w="11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321</w:t>
            </w:r>
          </w:p>
        </w:tc>
        <w:tc>
          <w:tcPr>
            <w:tcW w:w="106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100,00%</w:t>
            </w:r>
          </w:p>
        </w:tc>
      </w:tr>
      <w:tr w:rsidR="00474B1C" w:rsidRPr="00FC0A19">
        <w:trPr>
          <w:trHeight w:val="315"/>
        </w:trPr>
        <w:tc>
          <w:tcPr>
            <w:tcW w:w="4987" w:type="dxa"/>
            <w:tcBorders>
              <w:top w:val="nil"/>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KÖLTSÉGEK, RÁFORDÍTÁSOK ÖSSZESEN</w:t>
            </w:r>
          </w:p>
        </w:tc>
        <w:tc>
          <w:tcPr>
            <w:tcW w:w="1173"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2 556 196</w:t>
            </w:r>
          </w:p>
        </w:tc>
        <w:tc>
          <w:tcPr>
            <w:tcW w:w="1180"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2 322 695</w:t>
            </w:r>
          </w:p>
        </w:tc>
        <w:tc>
          <w:tcPr>
            <w:tcW w:w="1060" w:type="dxa"/>
            <w:tcBorders>
              <w:top w:val="nil"/>
              <w:left w:val="nil"/>
              <w:bottom w:val="single" w:sz="4" w:space="0" w:color="000000"/>
              <w:right w:val="double" w:sz="6"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90,87</w:t>
            </w:r>
            <w:r w:rsidRPr="007B55B8">
              <w:rPr>
                <w:rFonts w:ascii="Times New Roman" w:hAnsi="Times New Roman" w:cs="Times New Roman"/>
                <w:b/>
                <w:bCs/>
                <w:color w:val="000000"/>
                <w:sz w:val="24"/>
                <w:szCs w:val="24"/>
                <w:lang w:eastAsia="hu-HU"/>
              </w:rPr>
              <w:t>%</w:t>
            </w:r>
          </w:p>
        </w:tc>
      </w:tr>
      <w:tr w:rsidR="00474B1C" w:rsidRPr="00FC0A19">
        <w:trPr>
          <w:trHeight w:val="330"/>
        </w:trPr>
        <w:tc>
          <w:tcPr>
            <w:tcW w:w="4987" w:type="dxa"/>
            <w:tcBorders>
              <w:top w:val="nil"/>
              <w:left w:val="double" w:sz="6" w:space="0" w:color="000000"/>
              <w:bottom w:val="double" w:sz="6"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Adózás előtti eredmény</w:t>
            </w:r>
          </w:p>
        </w:tc>
        <w:tc>
          <w:tcPr>
            <w:tcW w:w="1173" w:type="dxa"/>
            <w:tcBorders>
              <w:top w:val="nil"/>
              <w:left w:val="nil"/>
              <w:bottom w:val="double" w:sz="6" w:space="0" w:color="000000"/>
              <w:right w:val="single" w:sz="4"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w:t>
            </w:r>
            <w:r>
              <w:rPr>
                <w:rFonts w:ascii="Times New Roman" w:hAnsi="Times New Roman" w:cs="Times New Roman"/>
                <w:i/>
                <w:iCs/>
                <w:color w:val="000000"/>
                <w:sz w:val="24"/>
                <w:szCs w:val="24"/>
                <w:lang w:eastAsia="hu-HU"/>
              </w:rPr>
              <w:t>286 356</w:t>
            </w:r>
          </w:p>
        </w:tc>
        <w:tc>
          <w:tcPr>
            <w:tcW w:w="1180" w:type="dxa"/>
            <w:tcBorders>
              <w:top w:val="nil"/>
              <w:left w:val="nil"/>
              <w:bottom w:val="double" w:sz="6" w:space="0" w:color="000000"/>
              <w:right w:val="single" w:sz="4"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w:t>
            </w:r>
            <w:r>
              <w:rPr>
                <w:rFonts w:ascii="Times New Roman" w:hAnsi="Times New Roman" w:cs="Times New Roman"/>
                <w:i/>
                <w:iCs/>
                <w:color w:val="000000"/>
                <w:sz w:val="24"/>
                <w:szCs w:val="24"/>
                <w:lang w:eastAsia="hu-HU"/>
              </w:rPr>
              <w:t>286 842</w:t>
            </w:r>
          </w:p>
        </w:tc>
        <w:tc>
          <w:tcPr>
            <w:tcW w:w="1060" w:type="dxa"/>
            <w:tcBorders>
              <w:top w:val="nil"/>
              <w:left w:val="nil"/>
              <w:bottom w:val="double" w:sz="6" w:space="0" w:color="000000"/>
              <w:right w:val="double" w:sz="6" w:space="0" w:color="000000"/>
            </w:tcBorders>
            <w:shd w:val="clear" w:color="000000" w:fill="BFBFBF"/>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Pr>
                <w:rFonts w:ascii="Times New Roman" w:hAnsi="Times New Roman" w:cs="Times New Roman"/>
                <w:i/>
                <w:iCs/>
                <w:color w:val="000000"/>
                <w:sz w:val="24"/>
                <w:szCs w:val="24"/>
                <w:lang w:eastAsia="hu-HU"/>
              </w:rPr>
              <w:t>100</w:t>
            </w:r>
            <w:r w:rsidRPr="007B55B8">
              <w:rPr>
                <w:rFonts w:ascii="Times New Roman" w:hAnsi="Times New Roman" w:cs="Times New Roman"/>
                <w:i/>
                <w:iCs/>
                <w:color w:val="000000"/>
                <w:sz w:val="24"/>
                <w:szCs w:val="24"/>
                <w:lang w:eastAsia="hu-HU"/>
              </w:rPr>
              <w:t>,</w:t>
            </w:r>
            <w:r>
              <w:rPr>
                <w:rFonts w:ascii="Times New Roman" w:hAnsi="Times New Roman" w:cs="Times New Roman"/>
                <w:i/>
                <w:iCs/>
                <w:color w:val="000000"/>
                <w:sz w:val="24"/>
                <w:szCs w:val="24"/>
                <w:lang w:eastAsia="hu-HU"/>
              </w:rPr>
              <w:t>1</w:t>
            </w:r>
            <w:r w:rsidRPr="007B55B8">
              <w:rPr>
                <w:rFonts w:ascii="Times New Roman" w:hAnsi="Times New Roman" w:cs="Times New Roman"/>
                <w:i/>
                <w:iCs/>
                <w:color w:val="000000"/>
                <w:sz w:val="24"/>
                <w:szCs w:val="24"/>
                <w:lang w:eastAsia="hu-HU"/>
              </w:rPr>
              <w:t>7%</w:t>
            </w:r>
          </w:p>
        </w:tc>
      </w:tr>
    </w:tbl>
    <w:p w:rsidR="00474B1C" w:rsidRDefault="00474B1C" w:rsidP="001146AE">
      <w:pPr>
        <w:spacing w:after="0"/>
        <w:jc w:val="both"/>
        <w:rPr>
          <w:rFonts w:ascii="Times New Roman" w:hAnsi="Times New Roman" w:cs="Times New Roman"/>
          <w:sz w:val="24"/>
          <w:szCs w:val="24"/>
        </w:rPr>
      </w:pPr>
    </w:p>
    <w:p w:rsidR="00474B1C" w:rsidRDefault="00474B1C" w:rsidP="001146AE">
      <w:pPr>
        <w:spacing w:after="0"/>
        <w:jc w:val="both"/>
        <w:rPr>
          <w:rFonts w:ascii="Times New Roman" w:hAnsi="Times New Roman" w:cs="Times New Roman"/>
          <w:b/>
          <w:bCs/>
          <w:sz w:val="24"/>
          <w:szCs w:val="24"/>
        </w:rPr>
      </w:pPr>
    </w:p>
    <w:p w:rsidR="00474B1C" w:rsidRDefault="00474B1C" w:rsidP="001146AE">
      <w:pPr>
        <w:spacing w:after="0"/>
        <w:jc w:val="both"/>
        <w:rPr>
          <w:rFonts w:ascii="Times New Roman" w:hAnsi="Times New Roman" w:cs="Times New Roman"/>
          <w:b/>
          <w:bCs/>
          <w:sz w:val="24"/>
          <w:szCs w:val="24"/>
        </w:rPr>
      </w:pPr>
    </w:p>
    <w:p w:rsidR="00474B1C" w:rsidRDefault="00474B1C" w:rsidP="001146AE">
      <w:pPr>
        <w:spacing w:after="0"/>
        <w:jc w:val="both"/>
        <w:rPr>
          <w:rFonts w:ascii="Times New Roman" w:hAnsi="Times New Roman" w:cs="Times New Roman"/>
          <w:b/>
          <w:bCs/>
          <w:sz w:val="24"/>
          <w:szCs w:val="24"/>
        </w:rPr>
      </w:pPr>
    </w:p>
    <w:p w:rsidR="00474B1C" w:rsidRDefault="00474B1C" w:rsidP="001146AE">
      <w:pPr>
        <w:spacing w:after="0"/>
        <w:jc w:val="both"/>
        <w:rPr>
          <w:rFonts w:ascii="Times New Roman" w:hAnsi="Times New Roman" w:cs="Times New Roman"/>
          <w:b/>
          <w:bCs/>
          <w:sz w:val="24"/>
          <w:szCs w:val="24"/>
        </w:rPr>
      </w:pPr>
    </w:p>
    <w:p w:rsidR="00474B1C" w:rsidRDefault="00474B1C" w:rsidP="001146AE">
      <w:pPr>
        <w:spacing w:after="0"/>
        <w:jc w:val="both"/>
        <w:rPr>
          <w:rFonts w:ascii="Times New Roman" w:hAnsi="Times New Roman" w:cs="Times New Roman"/>
          <w:b/>
          <w:bCs/>
          <w:sz w:val="24"/>
          <w:szCs w:val="24"/>
        </w:rPr>
      </w:pPr>
    </w:p>
    <w:p w:rsidR="00474B1C" w:rsidRPr="00E937AE" w:rsidRDefault="00474B1C" w:rsidP="001146AE">
      <w:pPr>
        <w:spacing w:after="0"/>
        <w:jc w:val="both"/>
        <w:rPr>
          <w:rFonts w:ascii="Times New Roman" w:hAnsi="Times New Roman" w:cs="Times New Roman"/>
          <w:b/>
          <w:bCs/>
          <w:sz w:val="24"/>
          <w:szCs w:val="24"/>
        </w:rPr>
      </w:pPr>
      <w:r w:rsidRPr="00E937AE">
        <w:rPr>
          <w:rFonts w:ascii="Times New Roman" w:hAnsi="Times New Roman" w:cs="Times New Roman"/>
          <w:b/>
          <w:bCs/>
          <w:sz w:val="24"/>
          <w:szCs w:val="24"/>
        </w:rPr>
        <w:t>A társaság által végzett közszolgáltatások eredményterve:</w:t>
      </w:r>
    </w:p>
    <w:p w:rsidR="00474B1C" w:rsidRDefault="00474B1C" w:rsidP="001146AE">
      <w:pPr>
        <w:spacing w:after="0"/>
        <w:jc w:val="both"/>
        <w:rPr>
          <w:rFonts w:ascii="Times New Roman" w:hAnsi="Times New Roman" w:cs="Times New Roman"/>
          <w:sz w:val="24"/>
          <w:szCs w:val="24"/>
        </w:rPr>
      </w:pPr>
    </w:p>
    <w:p w:rsidR="00474B1C" w:rsidRPr="00E937AE"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 xml:space="preserve">A Dunakeszi Közüzemi Nkft. </w:t>
      </w:r>
      <w:r>
        <w:rPr>
          <w:rFonts w:ascii="Times New Roman" w:hAnsi="Times New Roman" w:cs="Times New Roman"/>
          <w:i/>
          <w:iCs/>
          <w:sz w:val="24"/>
          <w:szCs w:val="24"/>
        </w:rPr>
        <w:t xml:space="preserve">távhő-ágazatának </w:t>
      </w:r>
      <w:r w:rsidRPr="00E937AE">
        <w:rPr>
          <w:rFonts w:ascii="Times New Roman" w:hAnsi="Times New Roman" w:cs="Times New Roman"/>
          <w:i/>
          <w:iCs/>
          <w:sz w:val="24"/>
          <w:szCs w:val="24"/>
        </w:rPr>
        <w:t>2017. évi eredményterve</w:t>
      </w:r>
    </w:p>
    <w:p w:rsidR="00474B1C" w:rsidRPr="00E937AE"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(Adatok E Ft-ban)</w:t>
      </w:r>
    </w:p>
    <w:tbl>
      <w:tblPr>
        <w:tblW w:w="8434" w:type="dxa"/>
        <w:tblInd w:w="-68" w:type="dxa"/>
        <w:tblCellMar>
          <w:left w:w="70" w:type="dxa"/>
          <w:right w:w="70" w:type="dxa"/>
        </w:tblCellMar>
        <w:tblLook w:val="00A0"/>
      </w:tblPr>
      <w:tblGrid>
        <w:gridCol w:w="5080"/>
        <w:gridCol w:w="1080"/>
        <w:gridCol w:w="1234"/>
        <w:gridCol w:w="1040"/>
      </w:tblGrid>
      <w:tr w:rsidR="00474B1C" w:rsidRPr="00FC0A19">
        <w:trPr>
          <w:trHeight w:val="330"/>
        </w:trPr>
        <w:tc>
          <w:tcPr>
            <w:tcW w:w="5080" w:type="dxa"/>
            <w:tcBorders>
              <w:top w:val="double" w:sz="6" w:space="0" w:color="000000"/>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c>
          <w:tcPr>
            <w:tcW w:w="1080"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2016 tény</w:t>
            </w:r>
          </w:p>
        </w:tc>
        <w:tc>
          <w:tcPr>
            <w:tcW w:w="1234"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2017 terv</w:t>
            </w:r>
          </w:p>
        </w:tc>
        <w:tc>
          <w:tcPr>
            <w:tcW w:w="1040" w:type="dxa"/>
            <w:tcBorders>
              <w:top w:val="double" w:sz="6" w:space="0" w:color="000000"/>
              <w:left w:val="nil"/>
              <w:bottom w:val="single" w:sz="4" w:space="0" w:color="000000"/>
              <w:right w:val="double" w:sz="6"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Változás</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Távhő/Fűtőmű árbevétele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548 864</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548 864</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100,00%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bevétel</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195 779</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227 718</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11</w:t>
            </w:r>
            <w:r>
              <w:rPr>
                <w:rFonts w:ascii="Times New Roman" w:hAnsi="Times New Roman" w:cs="Times New Roman"/>
                <w:color w:val="000000"/>
                <w:sz w:val="24"/>
                <w:szCs w:val="24"/>
                <w:lang w:eastAsia="hu-HU"/>
              </w:rPr>
              <w:t>6</w:t>
            </w:r>
            <w:r w:rsidRPr="007B55B8">
              <w:rPr>
                <w:rFonts w:ascii="Times New Roman" w:hAnsi="Times New Roman" w:cs="Times New Roman"/>
                <w:color w:val="000000"/>
                <w:sz w:val="24"/>
                <w:szCs w:val="24"/>
                <w:lang w:eastAsia="hu-HU"/>
              </w:rPr>
              <w:t>,</w:t>
            </w:r>
            <w:r>
              <w:rPr>
                <w:rFonts w:ascii="Times New Roman" w:hAnsi="Times New Roman" w:cs="Times New Roman"/>
                <w:color w:val="000000"/>
                <w:sz w:val="24"/>
                <w:szCs w:val="24"/>
                <w:lang w:eastAsia="hu-HU"/>
              </w:rPr>
              <w:t>31</w:t>
            </w:r>
            <w:r w:rsidRPr="007B55B8">
              <w:rPr>
                <w:rFonts w:ascii="Times New Roman" w:hAnsi="Times New Roman" w:cs="Times New Roman"/>
                <w:color w:val="000000"/>
                <w:sz w:val="24"/>
                <w:szCs w:val="24"/>
                <w:lang w:eastAsia="hu-HU"/>
              </w:rPr>
              <w:t>%</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BEVÉTELEK ÖSSZESEN</w:t>
            </w:r>
          </w:p>
        </w:tc>
        <w:tc>
          <w:tcPr>
            <w:tcW w:w="1080"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744 642</w:t>
            </w:r>
          </w:p>
        </w:tc>
        <w:tc>
          <w:tcPr>
            <w:tcW w:w="1234"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776 582</w:t>
            </w:r>
          </w:p>
        </w:tc>
        <w:tc>
          <w:tcPr>
            <w:tcW w:w="1040" w:type="dxa"/>
            <w:tcBorders>
              <w:top w:val="nil"/>
              <w:left w:val="nil"/>
              <w:bottom w:val="single" w:sz="4"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104,</w:t>
            </w:r>
            <w:r>
              <w:rPr>
                <w:rFonts w:ascii="Times New Roman" w:hAnsi="Times New Roman" w:cs="Times New Roman"/>
                <w:b/>
                <w:bCs/>
                <w:color w:val="000000"/>
                <w:sz w:val="24"/>
                <w:szCs w:val="24"/>
                <w:lang w:eastAsia="hu-HU"/>
              </w:rPr>
              <w:t>29</w:t>
            </w:r>
            <w:r w:rsidRPr="007B55B8">
              <w:rPr>
                <w:rFonts w:ascii="Times New Roman" w:hAnsi="Times New Roman" w:cs="Times New Roman"/>
                <w:b/>
                <w:bCs/>
                <w:color w:val="000000"/>
                <w:sz w:val="24"/>
                <w:szCs w:val="24"/>
                <w:lang w:eastAsia="hu-HU"/>
              </w:rPr>
              <w:t>%</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Anyagköltség</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362 314</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350 000</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96,60%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Igénybevett szolgáltatások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14 400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14 746</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szolgáltatások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7 657</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7 841</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Eladott áruk beszerzési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54</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55</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Közvetített szolgáltatások értéke </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102 810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105 278</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Személyi jellegű ráfordítások összesen</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68 781</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71 532</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104,00%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Értékcsökkenési leírás</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67 938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70 000</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103,04%</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ráfordítások</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28 674</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33 362</w:t>
            </w:r>
          </w:p>
        </w:tc>
        <w:tc>
          <w:tcPr>
            <w:tcW w:w="1040"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w:t>
            </w:r>
            <w:r>
              <w:rPr>
                <w:rFonts w:ascii="Times New Roman" w:hAnsi="Times New Roman" w:cs="Times New Roman"/>
                <w:color w:val="000000"/>
                <w:sz w:val="24"/>
                <w:szCs w:val="24"/>
                <w:lang w:eastAsia="hu-HU"/>
              </w:rPr>
              <w:t>16</w:t>
            </w:r>
            <w:r w:rsidRPr="007B55B8">
              <w:rPr>
                <w:rFonts w:ascii="Times New Roman" w:hAnsi="Times New Roman" w:cs="Times New Roman"/>
                <w:color w:val="000000"/>
                <w:sz w:val="24"/>
                <w:szCs w:val="24"/>
                <w:lang w:eastAsia="hu-HU"/>
              </w:rPr>
              <w:t>,</w:t>
            </w:r>
            <w:r>
              <w:rPr>
                <w:rFonts w:ascii="Times New Roman" w:hAnsi="Times New Roman" w:cs="Times New Roman"/>
                <w:color w:val="000000"/>
                <w:sz w:val="24"/>
                <w:szCs w:val="24"/>
                <w:lang w:eastAsia="hu-HU"/>
              </w:rPr>
              <w:t>35</w:t>
            </w:r>
            <w:r w:rsidRPr="007B55B8">
              <w:rPr>
                <w:rFonts w:ascii="Times New Roman" w:hAnsi="Times New Roman" w:cs="Times New Roman"/>
                <w:color w:val="000000"/>
                <w:sz w:val="24"/>
                <w:szCs w:val="24"/>
                <w:lang w:eastAsia="hu-HU"/>
              </w:rPr>
              <w:t>%</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KÖLTSÉGEK, RÁFORDÍTÁSOK ÖSSZESEN</w:t>
            </w:r>
          </w:p>
        </w:tc>
        <w:tc>
          <w:tcPr>
            <w:tcW w:w="1080"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652 628</w:t>
            </w:r>
          </w:p>
        </w:tc>
        <w:tc>
          <w:tcPr>
            <w:tcW w:w="1234"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652 813</w:t>
            </w:r>
          </w:p>
        </w:tc>
        <w:tc>
          <w:tcPr>
            <w:tcW w:w="1040" w:type="dxa"/>
            <w:tcBorders>
              <w:top w:val="nil"/>
              <w:left w:val="nil"/>
              <w:bottom w:val="single" w:sz="4"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100</w:t>
            </w:r>
            <w:r w:rsidRPr="007B55B8">
              <w:rPr>
                <w:rFonts w:ascii="Times New Roman" w:hAnsi="Times New Roman" w:cs="Times New Roman"/>
                <w:b/>
                <w:bCs/>
                <w:color w:val="000000"/>
                <w:sz w:val="24"/>
                <w:szCs w:val="24"/>
                <w:lang w:eastAsia="hu-HU"/>
              </w:rPr>
              <w:t>,</w:t>
            </w:r>
            <w:r>
              <w:rPr>
                <w:rFonts w:ascii="Times New Roman" w:hAnsi="Times New Roman" w:cs="Times New Roman"/>
                <w:b/>
                <w:bCs/>
                <w:color w:val="000000"/>
                <w:sz w:val="24"/>
                <w:szCs w:val="24"/>
                <w:lang w:eastAsia="hu-HU"/>
              </w:rPr>
              <w:t>03</w:t>
            </w:r>
            <w:r w:rsidRPr="007B55B8">
              <w:rPr>
                <w:rFonts w:ascii="Times New Roman" w:hAnsi="Times New Roman" w:cs="Times New Roman"/>
                <w:b/>
                <w:bCs/>
                <w:color w:val="000000"/>
                <w:sz w:val="24"/>
                <w:szCs w:val="24"/>
                <w:lang w:eastAsia="hu-HU"/>
              </w:rPr>
              <w:t>%</w:t>
            </w:r>
          </w:p>
        </w:tc>
      </w:tr>
      <w:tr w:rsidR="00474B1C" w:rsidRPr="00FC0A19">
        <w:trPr>
          <w:trHeight w:val="330"/>
        </w:trPr>
        <w:tc>
          <w:tcPr>
            <w:tcW w:w="5080" w:type="dxa"/>
            <w:tcBorders>
              <w:top w:val="nil"/>
              <w:left w:val="double" w:sz="6" w:space="0" w:color="000000"/>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Adózás előtti eredmény</w:t>
            </w:r>
          </w:p>
        </w:tc>
        <w:tc>
          <w:tcPr>
            <w:tcW w:w="1080" w:type="dxa"/>
            <w:tcBorders>
              <w:top w:val="nil"/>
              <w:left w:val="nil"/>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Pr>
                <w:rFonts w:ascii="Times New Roman" w:hAnsi="Times New Roman" w:cs="Times New Roman"/>
                <w:i/>
                <w:iCs/>
                <w:color w:val="000000"/>
                <w:sz w:val="24"/>
                <w:szCs w:val="24"/>
                <w:lang w:eastAsia="hu-HU"/>
              </w:rPr>
              <w:t>92 015</w:t>
            </w:r>
          </w:p>
        </w:tc>
        <w:tc>
          <w:tcPr>
            <w:tcW w:w="1234" w:type="dxa"/>
            <w:tcBorders>
              <w:top w:val="nil"/>
              <w:left w:val="nil"/>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Pr>
                <w:rFonts w:ascii="Times New Roman" w:hAnsi="Times New Roman" w:cs="Times New Roman"/>
                <w:i/>
                <w:iCs/>
                <w:color w:val="000000"/>
                <w:sz w:val="24"/>
                <w:szCs w:val="24"/>
                <w:lang w:eastAsia="hu-HU"/>
              </w:rPr>
              <w:t>123 768</w:t>
            </w:r>
          </w:p>
        </w:tc>
        <w:tc>
          <w:tcPr>
            <w:tcW w:w="1040" w:type="dxa"/>
            <w:tcBorders>
              <w:top w:val="nil"/>
              <w:left w:val="nil"/>
              <w:bottom w:val="double" w:sz="6"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Pr>
                <w:rFonts w:ascii="Times New Roman" w:hAnsi="Times New Roman" w:cs="Times New Roman"/>
                <w:i/>
                <w:iCs/>
                <w:color w:val="000000"/>
                <w:sz w:val="24"/>
                <w:szCs w:val="24"/>
                <w:lang w:eastAsia="hu-HU"/>
              </w:rPr>
              <w:t>134</w:t>
            </w:r>
            <w:r w:rsidRPr="007B55B8">
              <w:rPr>
                <w:rFonts w:ascii="Times New Roman" w:hAnsi="Times New Roman" w:cs="Times New Roman"/>
                <w:i/>
                <w:iCs/>
                <w:color w:val="000000"/>
                <w:sz w:val="24"/>
                <w:szCs w:val="24"/>
                <w:lang w:eastAsia="hu-HU"/>
              </w:rPr>
              <w:t>,</w:t>
            </w:r>
            <w:r>
              <w:rPr>
                <w:rFonts w:ascii="Times New Roman" w:hAnsi="Times New Roman" w:cs="Times New Roman"/>
                <w:i/>
                <w:iCs/>
                <w:color w:val="000000"/>
                <w:sz w:val="24"/>
                <w:szCs w:val="24"/>
                <w:lang w:eastAsia="hu-HU"/>
              </w:rPr>
              <w:t>51</w:t>
            </w:r>
            <w:r w:rsidRPr="007B55B8">
              <w:rPr>
                <w:rFonts w:ascii="Times New Roman" w:hAnsi="Times New Roman" w:cs="Times New Roman"/>
                <w:i/>
                <w:iCs/>
                <w:color w:val="000000"/>
                <w:sz w:val="24"/>
                <w:szCs w:val="24"/>
                <w:lang w:eastAsia="hu-HU"/>
              </w:rPr>
              <w:t>%</w:t>
            </w:r>
          </w:p>
        </w:tc>
      </w:tr>
    </w:tbl>
    <w:p w:rsidR="00474B1C" w:rsidRPr="00E937AE"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 xml:space="preserve">A Dunakeszi Közüzemi Nkft. </w:t>
      </w:r>
      <w:r>
        <w:rPr>
          <w:rFonts w:ascii="Times New Roman" w:hAnsi="Times New Roman" w:cs="Times New Roman"/>
          <w:i/>
          <w:iCs/>
          <w:sz w:val="24"/>
          <w:szCs w:val="24"/>
        </w:rPr>
        <w:t xml:space="preserve">hulladék-ágazatának </w:t>
      </w:r>
      <w:r w:rsidRPr="00E937AE">
        <w:rPr>
          <w:rFonts w:ascii="Times New Roman" w:hAnsi="Times New Roman" w:cs="Times New Roman"/>
          <w:i/>
          <w:iCs/>
          <w:sz w:val="24"/>
          <w:szCs w:val="24"/>
        </w:rPr>
        <w:t>2017. évi eredményterve</w:t>
      </w:r>
    </w:p>
    <w:p w:rsidR="00474B1C"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(Adatok E Ft-ban)</w:t>
      </w:r>
    </w:p>
    <w:p w:rsidR="00474B1C" w:rsidRDefault="00474B1C" w:rsidP="001146AE">
      <w:pPr>
        <w:spacing w:after="0"/>
        <w:ind w:left="357"/>
        <w:jc w:val="both"/>
        <w:rPr>
          <w:rFonts w:ascii="Times New Roman" w:hAnsi="Times New Roman" w:cs="Times New Roman"/>
          <w:sz w:val="24"/>
          <w:szCs w:val="24"/>
        </w:rPr>
      </w:pPr>
    </w:p>
    <w:tbl>
      <w:tblPr>
        <w:tblW w:w="8514" w:type="dxa"/>
        <w:tblInd w:w="-68" w:type="dxa"/>
        <w:tblCellMar>
          <w:left w:w="70" w:type="dxa"/>
          <w:right w:w="70" w:type="dxa"/>
        </w:tblCellMar>
        <w:tblLook w:val="00A0"/>
      </w:tblPr>
      <w:tblGrid>
        <w:gridCol w:w="5080"/>
        <w:gridCol w:w="1080"/>
        <w:gridCol w:w="1234"/>
        <w:gridCol w:w="1120"/>
      </w:tblGrid>
      <w:tr w:rsidR="00474B1C" w:rsidRPr="00FC0A19">
        <w:trPr>
          <w:trHeight w:val="330"/>
        </w:trPr>
        <w:tc>
          <w:tcPr>
            <w:tcW w:w="5080" w:type="dxa"/>
            <w:tcBorders>
              <w:top w:val="double" w:sz="6" w:space="0" w:color="000000"/>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 </w:t>
            </w:r>
          </w:p>
        </w:tc>
        <w:tc>
          <w:tcPr>
            <w:tcW w:w="1080"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2016 tény</w:t>
            </w:r>
          </w:p>
        </w:tc>
        <w:tc>
          <w:tcPr>
            <w:tcW w:w="1234"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2017 terv</w:t>
            </w:r>
          </w:p>
        </w:tc>
        <w:tc>
          <w:tcPr>
            <w:tcW w:w="1120" w:type="dxa"/>
            <w:tcBorders>
              <w:top w:val="double" w:sz="6" w:space="0" w:color="000000"/>
              <w:left w:val="nil"/>
              <w:bottom w:val="single" w:sz="4" w:space="0" w:color="000000"/>
              <w:right w:val="double" w:sz="6"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Változás</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Hulladék kezelés árbevétele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262 914</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260 000</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98,89%</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bevétel</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188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200</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106,16%</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BEVÉTELEK ÖSSZESEN</w:t>
            </w:r>
          </w:p>
        </w:tc>
        <w:tc>
          <w:tcPr>
            <w:tcW w:w="1080"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263 102</w:t>
            </w:r>
          </w:p>
        </w:tc>
        <w:tc>
          <w:tcPr>
            <w:tcW w:w="1234"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260 200</w:t>
            </w:r>
          </w:p>
        </w:tc>
        <w:tc>
          <w:tcPr>
            <w:tcW w:w="1120" w:type="dxa"/>
            <w:tcBorders>
              <w:top w:val="nil"/>
              <w:left w:val="nil"/>
              <w:bottom w:val="single" w:sz="4" w:space="0" w:color="000000"/>
              <w:right w:val="double" w:sz="6" w:space="0" w:color="000000"/>
            </w:tcBorders>
            <w:shd w:val="clear" w:color="000000" w:fill="BFBFBF"/>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98,90%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Anyagköltség</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63 435</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64 957</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Igénybevett szolgáltatások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20 798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220 798</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1061,65%</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szolgáltatások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3 380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3 461</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Eladott áruk beszerzési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1 628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1 667</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Közvetített szolgáltatások értéke </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39 752</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40 706</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lastRenderedPageBreak/>
              <w:t>Személyi jellegű ráfordítások összesen</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90 039</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93 640</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104,00%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Értékcsökkenési leírás</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9 144</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9 144</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100,00%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ráfordítások</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2 390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4 447</w:t>
            </w:r>
          </w:p>
        </w:tc>
        <w:tc>
          <w:tcPr>
            <w:tcW w:w="1120" w:type="dxa"/>
            <w:tcBorders>
              <w:top w:val="nil"/>
              <w:left w:val="nil"/>
              <w:bottom w:val="single" w:sz="4" w:space="0" w:color="000000"/>
              <w:right w:val="double" w:sz="6" w:space="0" w:color="000000"/>
            </w:tcBorders>
            <w:noWrap/>
            <w:vAlign w:val="bottom"/>
          </w:tcPr>
          <w:p w:rsidR="00474B1C" w:rsidRPr="007B55B8" w:rsidRDefault="00474B1C" w:rsidP="00360A4F">
            <w:pPr>
              <w:spacing w:after="0" w:line="240" w:lineRule="auto"/>
              <w:jc w:val="center"/>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w:t>
            </w:r>
            <w:r>
              <w:rPr>
                <w:rFonts w:ascii="Times New Roman" w:hAnsi="Times New Roman" w:cs="Times New Roman"/>
                <w:color w:val="000000"/>
                <w:sz w:val="24"/>
                <w:szCs w:val="24"/>
                <w:lang w:eastAsia="hu-HU"/>
              </w:rPr>
              <w:t>86</w:t>
            </w:r>
            <w:r w:rsidRPr="007B55B8">
              <w:rPr>
                <w:rFonts w:ascii="Times New Roman" w:hAnsi="Times New Roman" w:cs="Times New Roman"/>
                <w:color w:val="000000"/>
                <w:sz w:val="24"/>
                <w:szCs w:val="24"/>
                <w:lang w:eastAsia="hu-HU"/>
              </w:rPr>
              <w:t>,</w:t>
            </w:r>
            <w:r>
              <w:rPr>
                <w:rFonts w:ascii="Times New Roman" w:hAnsi="Times New Roman" w:cs="Times New Roman"/>
                <w:color w:val="000000"/>
                <w:sz w:val="24"/>
                <w:szCs w:val="24"/>
                <w:lang w:eastAsia="hu-HU"/>
              </w:rPr>
              <w:t>08</w:t>
            </w:r>
            <w:r w:rsidRPr="007B55B8">
              <w:rPr>
                <w:rFonts w:ascii="Times New Roman" w:hAnsi="Times New Roman" w:cs="Times New Roman"/>
                <w:color w:val="000000"/>
                <w:sz w:val="24"/>
                <w:szCs w:val="24"/>
                <w:lang w:eastAsia="hu-HU"/>
              </w:rPr>
              <w:t>%</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KÖLTSÉGEK, RÁFORDÍTÁSOK ÖSSZESEN</w:t>
            </w:r>
          </w:p>
        </w:tc>
        <w:tc>
          <w:tcPr>
            <w:tcW w:w="1080"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230 565</w:t>
            </w:r>
          </w:p>
        </w:tc>
        <w:tc>
          <w:tcPr>
            <w:tcW w:w="1234" w:type="dxa"/>
            <w:tcBorders>
              <w:top w:val="nil"/>
              <w:left w:val="nil"/>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438 821</w:t>
            </w:r>
          </w:p>
        </w:tc>
        <w:tc>
          <w:tcPr>
            <w:tcW w:w="1120" w:type="dxa"/>
            <w:tcBorders>
              <w:top w:val="nil"/>
              <w:left w:val="nil"/>
              <w:bottom w:val="single" w:sz="4" w:space="0" w:color="000000"/>
              <w:right w:val="double" w:sz="6" w:space="0" w:color="000000"/>
            </w:tcBorders>
            <w:shd w:val="clear" w:color="000000" w:fill="BFBFBF"/>
            <w:noWrap/>
            <w:vAlign w:val="bottom"/>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190,3</w:t>
            </w:r>
            <w:r w:rsidRPr="007B55B8">
              <w:rPr>
                <w:rFonts w:ascii="Times New Roman" w:hAnsi="Times New Roman" w:cs="Times New Roman"/>
                <w:b/>
                <w:bCs/>
                <w:color w:val="000000"/>
                <w:sz w:val="24"/>
                <w:szCs w:val="24"/>
                <w:lang w:eastAsia="hu-HU"/>
              </w:rPr>
              <w:t>2%</w:t>
            </w:r>
          </w:p>
        </w:tc>
      </w:tr>
      <w:tr w:rsidR="00474B1C" w:rsidRPr="00FC0A19">
        <w:trPr>
          <w:trHeight w:val="330"/>
        </w:trPr>
        <w:tc>
          <w:tcPr>
            <w:tcW w:w="5080" w:type="dxa"/>
            <w:tcBorders>
              <w:top w:val="nil"/>
              <w:left w:val="double" w:sz="6" w:space="0" w:color="000000"/>
              <w:bottom w:val="double" w:sz="6" w:space="0" w:color="000000"/>
              <w:right w:val="single" w:sz="4" w:space="0" w:color="000000"/>
            </w:tcBorders>
            <w:shd w:val="clear" w:color="D9D9D9" w:fill="BFBFBF"/>
            <w:noWrap/>
            <w:vAlign w:val="center"/>
          </w:tcPr>
          <w:p w:rsidR="00474B1C" w:rsidRPr="007B55B8" w:rsidRDefault="00474B1C" w:rsidP="00360A4F">
            <w:pPr>
              <w:spacing w:after="0" w:line="240" w:lineRule="auto"/>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Adózás előtti eredmény</w:t>
            </w:r>
          </w:p>
        </w:tc>
        <w:tc>
          <w:tcPr>
            <w:tcW w:w="1080" w:type="dxa"/>
            <w:tcBorders>
              <w:top w:val="nil"/>
              <w:left w:val="nil"/>
              <w:bottom w:val="double" w:sz="6" w:space="0" w:color="000000"/>
              <w:right w:val="single" w:sz="4" w:space="0" w:color="000000"/>
            </w:tcBorders>
            <w:shd w:val="clear" w:color="000000" w:fill="BFBFBF"/>
            <w:noWrap/>
            <w:vAlign w:val="center"/>
          </w:tcPr>
          <w:p w:rsidR="00474B1C" w:rsidRPr="007B55B8" w:rsidRDefault="00474B1C" w:rsidP="00360A4F">
            <w:pPr>
              <w:spacing w:after="0" w:line="240" w:lineRule="auto"/>
              <w:jc w:val="center"/>
              <w:rPr>
                <w:rFonts w:ascii="Times New Roman" w:hAnsi="Times New Roman" w:cs="Times New Roman"/>
                <w:i/>
                <w:iCs/>
                <w:color w:val="000000"/>
                <w:sz w:val="24"/>
                <w:szCs w:val="24"/>
                <w:lang w:eastAsia="hu-HU"/>
              </w:rPr>
            </w:pPr>
            <w:r>
              <w:rPr>
                <w:rFonts w:ascii="Times New Roman" w:hAnsi="Times New Roman" w:cs="Times New Roman"/>
                <w:i/>
                <w:iCs/>
                <w:color w:val="000000"/>
                <w:sz w:val="24"/>
                <w:szCs w:val="24"/>
                <w:lang w:eastAsia="hu-HU"/>
              </w:rPr>
              <w:t>32 537</w:t>
            </w:r>
          </w:p>
        </w:tc>
        <w:tc>
          <w:tcPr>
            <w:tcW w:w="1234" w:type="dxa"/>
            <w:tcBorders>
              <w:top w:val="nil"/>
              <w:left w:val="nil"/>
              <w:bottom w:val="double" w:sz="6" w:space="0" w:color="000000"/>
              <w:right w:val="single" w:sz="4" w:space="0" w:color="000000"/>
            </w:tcBorders>
            <w:shd w:val="clear" w:color="000000" w:fill="BFBFBF"/>
            <w:noWrap/>
            <w:vAlign w:val="center"/>
          </w:tcPr>
          <w:p w:rsidR="00474B1C" w:rsidRPr="007B55B8" w:rsidRDefault="00474B1C" w:rsidP="00360A4F">
            <w:pPr>
              <w:spacing w:after="0" w:line="240" w:lineRule="auto"/>
              <w:jc w:val="center"/>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-17</w:t>
            </w:r>
            <w:r>
              <w:rPr>
                <w:rFonts w:ascii="Times New Roman" w:hAnsi="Times New Roman" w:cs="Times New Roman"/>
                <w:i/>
                <w:iCs/>
                <w:color w:val="000000"/>
                <w:sz w:val="24"/>
                <w:szCs w:val="24"/>
                <w:lang w:eastAsia="hu-HU"/>
              </w:rPr>
              <w:t>8 621</w:t>
            </w:r>
          </w:p>
        </w:tc>
        <w:tc>
          <w:tcPr>
            <w:tcW w:w="1120" w:type="dxa"/>
            <w:tcBorders>
              <w:top w:val="nil"/>
              <w:left w:val="nil"/>
              <w:bottom w:val="double" w:sz="6" w:space="0" w:color="000000"/>
              <w:right w:val="double" w:sz="6" w:space="0" w:color="000000"/>
            </w:tcBorders>
            <w:shd w:val="clear" w:color="000000" w:fill="BFBFBF"/>
            <w:noWrap/>
            <w:vAlign w:val="bottom"/>
          </w:tcPr>
          <w:p w:rsidR="00474B1C" w:rsidRPr="007B55B8" w:rsidRDefault="00474B1C" w:rsidP="00360A4F">
            <w:pPr>
              <w:spacing w:after="0" w:line="240" w:lineRule="auto"/>
              <w:jc w:val="center"/>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-5</w:t>
            </w:r>
            <w:r>
              <w:rPr>
                <w:rFonts w:ascii="Times New Roman" w:hAnsi="Times New Roman" w:cs="Times New Roman"/>
                <w:i/>
                <w:iCs/>
                <w:color w:val="000000"/>
                <w:sz w:val="24"/>
                <w:szCs w:val="24"/>
                <w:lang w:eastAsia="hu-HU"/>
              </w:rPr>
              <w:t>48</w:t>
            </w:r>
            <w:r w:rsidRPr="007B55B8">
              <w:rPr>
                <w:rFonts w:ascii="Times New Roman" w:hAnsi="Times New Roman" w:cs="Times New Roman"/>
                <w:i/>
                <w:iCs/>
                <w:color w:val="000000"/>
                <w:sz w:val="24"/>
                <w:szCs w:val="24"/>
                <w:lang w:eastAsia="hu-HU"/>
              </w:rPr>
              <w:t>,</w:t>
            </w:r>
            <w:r>
              <w:rPr>
                <w:rFonts w:ascii="Times New Roman" w:hAnsi="Times New Roman" w:cs="Times New Roman"/>
                <w:i/>
                <w:iCs/>
                <w:color w:val="000000"/>
                <w:sz w:val="24"/>
                <w:szCs w:val="24"/>
                <w:lang w:eastAsia="hu-HU"/>
              </w:rPr>
              <w:t>98</w:t>
            </w:r>
            <w:r w:rsidRPr="007B55B8">
              <w:rPr>
                <w:rFonts w:ascii="Times New Roman" w:hAnsi="Times New Roman" w:cs="Times New Roman"/>
                <w:i/>
                <w:iCs/>
                <w:color w:val="000000"/>
                <w:sz w:val="24"/>
                <w:szCs w:val="24"/>
                <w:lang w:eastAsia="hu-HU"/>
              </w:rPr>
              <w:t>%</w:t>
            </w:r>
          </w:p>
        </w:tc>
      </w:tr>
    </w:tbl>
    <w:p w:rsidR="00474B1C" w:rsidRDefault="00474B1C" w:rsidP="001146AE">
      <w:pPr>
        <w:spacing w:after="0"/>
        <w:ind w:left="357"/>
        <w:jc w:val="both"/>
        <w:rPr>
          <w:rFonts w:ascii="Times New Roman" w:hAnsi="Times New Roman" w:cs="Times New Roman"/>
          <w:sz w:val="24"/>
          <w:szCs w:val="24"/>
        </w:rPr>
      </w:pPr>
    </w:p>
    <w:p w:rsidR="00474B1C" w:rsidRDefault="00474B1C" w:rsidP="001146AE">
      <w:pPr>
        <w:spacing w:after="0"/>
        <w:jc w:val="center"/>
        <w:rPr>
          <w:rFonts w:ascii="Times New Roman" w:hAnsi="Times New Roman" w:cs="Times New Roman"/>
          <w:i/>
          <w:iCs/>
          <w:sz w:val="24"/>
          <w:szCs w:val="24"/>
        </w:rPr>
      </w:pPr>
    </w:p>
    <w:p w:rsidR="00474B1C" w:rsidRDefault="00474B1C" w:rsidP="001146AE">
      <w:pPr>
        <w:spacing w:after="0"/>
        <w:jc w:val="center"/>
        <w:rPr>
          <w:rFonts w:ascii="Times New Roman" w:hAnsi="Times New Roman" w:cs="Times New Roman"/>
          <w:i/>
          <w:iCs/>
          <w:sz w:val="24"/>
          <w:szCs w:val="24"/>
        </w:rPr>
      </w:pPr>
    </w:p>
    <w:p w:rsidR="00474B1C" w:rsidRDefault="00474B1C" w:rsidP="001146AE">
      <w:pPr>
        <w:spacing w:after="0"/>
        <w:jc w:val="center"/>
        <w:rPr>
          <w:rFonts w:ascii="Times New Roman" w:hAnsi="Times New Roman" w:cs="Times New Roman"/>
          <w:i/>
          <w:iCs/>
          <w:sz w:val="24"/>
          <w:szCs w:val="24"/>
        </w:rPr>
      </w:pPr>
    </w:p>
    <w:p w:rsidR="00474B1C" w:rsidRDefault="00474B1C" w:rsidP="001146AE">
      <w:pPr>
        <w:spacing w:after="0"/>
        <w:jc w:val="center"/>
        <w:rPr>
          <w:rFonts w:ascii="Times New Roman" w:hAnsi="Times New Roman" w:cs="Times New Roman"/>
          <w:i/>
          <w:iCs/>
          <w:sz w:val="24"/>
          <w:szCs w:val="24"/>
        </w:rPr>
      </w:pPr>
    </w:p>
    <w:p w:rsidR="00474B1C" w:rsidRDefault="00474B1C" w:rsidP="001146AE">
      <w:pPr>
        <w:spacing w:after="0"/>
        <w:jc w:val="center"/>
        <w:rPr>
          <w:rFonts w:ascii="Times New Roman" w:hAnsi="Times New Roman" w:cs="Times New Roman"/>
          <w:i/>
          <w:iCs/>
          <w:sz w:val="24"/>
          <w:szCs w:val="24"/>
        </w:rPr>
      </w:pPr>
    </w:p>
    <w:p w:rsidR="00474B1C" w:rsidRPr="00E937AE"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 xml:space="preserve">A Dunakeszi Közüzemi Nkft. </w:t>
      </w:r>
      <w:r>
        <w:rPr>
          <w:rFonts w:ascii="Times New Roman" w:hAnsi="Times New Roman" w:cs="Times New Roman"/>
          <w:i/>
          <w:iCs/>
          <w:sz w:val="24"/>
          <w:szCs w:val="24"/>
        </w:rPr>
        <w:t xml:space="preserve">temető-ágazatának </w:t>
      </w:r>
      <w:r w:rsidRPr="00E937AE">
        <w:rPr>
          <w:rFonts w:ascii="Times New Roman" w:hAnsi="Times New Roman" w:cs="Times New Roman"/>
          <w:i/>
          <w:iCs/>
          <w:sz w:val="24"/>
          <w:szCs w:val="24"/>
        </w:rPr>
        <w:t>2017. évi eredményterve</w:t>
      </w:r>
    </w:p>
    <w:p w:rsidR="00474B1C"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(Adatok E Ft-ban)</w:t>
      </w:r>
    </w:p>
    <w:p w:rsidR="00474B1C" w:rsidRDefault="00474B1C" w:rsidP="001146AE">
      <w:pPr>
        <w:spacing w:after="0"/>
        <w:jc w:val="both"/>
        <w:rPr>
          <w:rFonts w:ascii="Times New Roman" w:hAnsi="Times New Roman" w:cs="Times New Roman"/>
          <w:sz w:val="24"/>
          <w:szCs w:val="24"/>
        </w:rPr>
      </w:pPr>
    </w:p>
    <w:tbl>
      <w:tblPr>
        <w:tblW w:w="8528" w:type="dxa"/>
        <w:tblInd w:w="-68" w:type="dxa"/>
        <w:tblCellMar>
          <w:left w:w="70" w:type="dxa"/>
          <w:right w:w="70" w:type="dxa"/>
        </w:tblCellMar>
        <w:tblLook w:val="00A0"/>
      </w:tblPr>
      <w:tblGrid>
        <w:gridCol w:w="5080"/>
        <w:gridCol w:w="1120"/>
        <w:gridCol w:w="1194"/>
        <w:gridCol w:w="1134"/>
      </w:tblGrid>
      <w:tr w:rsidR="00474B1C" w:rsidRPr="00FC0A19">
        <w:trPr>
          <w:trHeight w:val="330"/>
        </w:trPr>
        <w:tc>
          <w:tcPr>
            <w:tcW w:w="5080" w:type="dxa"/>
            <w:tcBorders>
              <w:top w:val="double" w:sz="6" w:space="0" w:color="000000"/>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c>
          <w:tcPr>
            <w:tcW w:w="1120"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2016 tény</w:t>
            </w:r>
          </w:p>
        </w:tc>
        <w:tc>
          <w:tcPr>
            <w:tcW w:w="1194"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2017 terv</w:t>
            </w:r>
          </w:p>
        </w:tc>
        <w:tc>
          <w:tcPr>
            <w:tcW w:w="1134" w:type="dxa"/>
            <w:tcBorders>
              <w:top w:val="double" w:sz="6" w:space="0" w:color="000000"/>
              <w:left w:val="nil"/>
              <w:bottom w:val="single" w:sz="4" w:space="0" w:color="000000"/>
              <w:right w:val="double" w:sz="6"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Változás</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Temető/ nettó árbevétele</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24 555</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24 555</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100,00%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bevétel</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BEVÉTELEK ÖSSZESEN</w:t>
            </w:r>
          </w:p>
        </w:tc>
        <w:tc>
          <w:tcPr>
            <w:tcW w:w="1120" w:type="dxa"/>
            <w:tcBorders>
              <w:top w:val="nil"/>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24 555</w:t>
            </w:r>
          </w:p>
        </w:tc>
        <w:tc>
          <w:tcPr>
            <w:tcW w:w="1194" w:type="dxa"/>
            <w:tcBorders>
              <w:top w:val="nil"/>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24 555</w:t>
            </w:r>
          </w:p>
        </w:tc>
        <w:tc>
          <w:tcPr>
            <w:tcW w:w="1134" w:type="dxa"/>
            <w:tcBorders>
              <w:top w:val="nil"/>
              <w:left w:val="nil"/>
              <w:bottom w:val="single" w:sz="4" w:space="0" w:color="000000"/>
              <w:right w:val="double" w:sz="6"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100,00%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Anyagköltség</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2 4</w:t>
            </w:r>
            <w:r>
              <w:rPr>
                <w:rFonts w:ascii="Times New Roman" w:hAnsi="Times New Roman" w:cs="Times New Roman"/>
                <w:color w:val="000000"/>
                <w:sz w:val="24"/>
                <w:szCs w:val="24"/>
                <w:lang w:eastAsia="hu-HU"/>
              </w:rPr>
              <w:t>77</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2 </w:t>
            </w:r>
            <w:r>
              <w:rPr>
                <w:rFonts w:ascii="Times New Roman" w:hAnsi="Times New Roman" w:cs="Times New Roman"/>
                <w:color w:val="000000"/>
                <w:sz w:val="24"/>
                <w:szCs w:val="24"/>
                <w:lang w:eastAsia="hu-HU"/>
              </w:rPr>
              <w:t>536</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Igénybevett szolgáltatások értéke</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5 </w:t>
            </w:r>
            <w:r>
              <w:rPr>
                <w:rFonts w:ascii="Times New Roman" w:hAnsi="Times New Roman" w:cs="Times New Roman"/>
                <w:color w:val="000000"/>
                <w:sz w:val="24"/>
                <w:szCs w:val="24"/>
                <w:lang w:eastAsia="hu-HU"/>
              </w:rPr>
              <w:t>735</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5 </w:t>
            </w:r>
            <w:r>
              <w:rPr>
                <w:rFonts w:ascii="Times New Roman" w:hAnsi="Times New Roman" w:cs="Times New Roman"/>
                <w:color w:val="000000"/>
                <w:sz w:val="24"/>
                <w:szCs w:val="24"/>
                <w:lang w:eastAsia="hu-HU"/>
              </w:rPr>
              <w:t>873</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szolgáltatások értéke</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149</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152</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Eladott áruk beszerzési értéke</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Közvetített szolgáltatások értéke </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Személyi jellegű ráfordítások összesen</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12 </w:t>
            </w:r>
            <w:r>
              <w:rPr>
                <w:rFonts w:ascii="Times New Roman" w:hAnsi="Times New Roman" w:cs="Times New Roman"/>
                <w:color w:val="000000"/>
                <w:sz w:val="24"/>
                <w:szCs w:val="24"/>
                <w:lang w:eastAsia="hu-HU"/>
              </w:rPr>
              <w:t>627</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xml:space="preserve">13 </w:t>
            </w:r>
            <w:r>
              <w:rPr>
                <w:rFonts w:ascii="Times New Roman" w:hAnsi="Times New Roman" w:cs="Times New Roman"/>
                <w:color w:val="000000"/>
                <w:sz w:val="24"/>
                <w:szCs w:val="24"/>
                <w:lang w:eastAsia="hu-HU"/>
              </w:rPr>
              <w:t>132</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104,00%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Értékcsökkenési leírás</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1 553</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1 553</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100,00</w:t>
            </w:r>
            <w:r w:rsidRPr="007B55B8">
              <w:rPr>
                <w:rFonts w:ascii="Times New Roman" w:hAnsi="Times New Roman" w:cs="Times New Roman"/>
                <w:color w:val="000000"/>
                <w:sz w:val="24"/>
                <w:szCs w:val="24"/>
                <w:lang w:eastAsia="hu-HU"/>
              </w:rPr>
              <w:t>%</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ráfordítások</w:t>
            </w:r>
          </w:p>
        </w:tc>
        <w:tc>
          <w:tcPr>
            <w:tcW w:w="112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136</w:t>
            </w:r>
          </w:p>
        </w:tc>
        <w:tc>
          <w:tcPr>
            <w:tcW w:w="119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136</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r>
              <w:rPr>
                <w:rFonts w:ascii="Times New Roman" w:hAnsi="Times New Roman" w:cs="Times New Roman"/>
                <w:color w:val="000000"/>
                <w:sz w:val="24"/>
                <w:szCs w:val="24"/>
                <w:lang w:eastAsia="hu-HU"/>
              </w:rPr>
              <w:t>100,00 %</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KÖLTSÉGEK, RÁFORDÍTÁSOK ÖSSZESEN</w:t>
            </w:r>
          </w:p>
        </w:tc>
        <w:tc>
          <w:tcPr>
            <w:tcW w:w="1120" w:type="dxa"/>
            <w:tcBorders>
              <w:top w:val="nil"/>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22 677</w:t>
            </w:r>
          </w:p>
        </w:tc>
        <w:tc>
          <w:tcPr>
            <w:tcW w:w="1194" w:type="dxa"/>
            <w:tcBorders>
              <w:top w:val="nil"/>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Pr>
                <w:rFonts w:ascii="Times New Roman" w:hAnsi="Times New Roman" w:cs="Times New Roman"/>
                <w:b/>
                <w:bCs/>
                <w:color w:val="000000"/>
                <w:sz w:val="24"/>
                <w:szCs w:val="24"/>
                <w:lang w:eastAsia="hu-HU"/>
              </w:rPr>
              <w:t>22 633</w:t>
            </w:r>
          </w:p>
        </w:tc>
        <w:tc>
          <w:tcPr>
            <w:tcW w:w="1134" w:type="dxa"/>
            <w:tcBorders>
              <w:top w:val="nil"/>
              <w:left w:val="nil"/>
              <w:bottom w:val="single" w:sz="4" w:space="0" w:color="000000"/>
              <w:right w:val="double" w:sz="6"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103,44%</w:t>
            </w:r>
          </w:p>
        </w:tc>
      </w:tr>
      <w:tr w:rsidR="00474B1C" w:rsidRPr="00FC0A19">
        <w:trPr>
          <w:trHeight w:val="330"/>
        </w:trPr>
        <w:tc>
          <w:tcPr>
            <w:tcW w:w="5080" w:type="dxa"/>
            <w:tcBorders>
              <w:top w:val="nil"/>
              <w:left w:val="double" w:sz="6" w:space="0" w:color="000000"/>
              <w:bottom w:val="double" w:sz="6" w:space="0" w:color="000000"/>
              <w:right w:val="single" w:sz="4" w:space="0" w:color="000000"/>
            </w:tcBorders>
            <w:shd w:val="clear" w:color="D9D9D9" w:fill="BFBFBF"/>
            <w:noWrap/>
            <w:vAlign w:val="center"/>
          </w:tcPr>
          <w:p w:rsidR="00474B1C" w:rsidRPr="007B55B8" w:rsidRDefault="00474B1C" w:rsidP="00360A4F">
            <w:pPr>
              <w:spacing w:after="0" w:line="240" w:lineRule="auto"/>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Adózás előtti eredmény</w:t>
            </w:r>
          </w:p>
        </w:tc>
        <w:tc>
          <w:tcPr>
            <w:tcW w:w="1120" w:type="dxa"/>
            <w:tcBorders>
              <w:top w:val="nil"/>
              <w:left w:val="nil"/>
              <w:bottom w:val="double" w:sz="6" w:space="0" w:color="000000"/>
              <w:right w:val="single" w:sz="4"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Pr>
                <w:rFonts w:ascii="Times New Roman" w:hAnsi="Times New Roman" w:cs="Times New Roman"/>
                <w:i/>
                <w:iCs/>
                <w:color w:val="000000"/>
                <w:sz w:val="24"/>
                <w:szCs w:val="24"/>
                <w:lang w:eastAsia="hu-HU"/>
              </w:rPr>
              <w:t>1 878</w:t>
            </w:r>
          </w:p>
        </w:tc>
        <w:tc>
          <w:tcPr>
            <w:tcW w:w="1194" w:type="dxa"/>
            <w:tcBorders>
              <w:top w:val="nil"/>
              <w:left w:val="nil"/>
              <w:bottom w:val="double" w:sz="6" w:space="0" w:color="000000"/>
              <w:right w:val="single" w:sz="4"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Pr>
                <w:rFonts w:ascii="Times New Roman" w:hAnsi="Times New Roman" w:cs="Times New Roman"/>
                <w:i/>
                <w:iCs/>
                <w:color w:val="000000"/>
                <w:sz w:val="24"/>
                <w:szCs w:val="24"/>
                <w:lang w:eastAsia="hu-HU"/>
              </w:rPr>
              <w:t>1 922</w:t>
            </w:r>
          </w:p>
        </w:tc>
        <w:tc>
          <w:tcPr>
            <w:tcW w:w="1134" w:type="dxa"/>
            <w:tcBorders>
              <w:top w:val="nil"/>
              <w:left w:val="nil"/>
              <w:bottom w:val="double" w:sz="6" w:space="0" w:color="000000"/>
              <w:right w:val="double" w:sz="6" w:space="0" w:color="000000"/>
            </w:tcBorders>
            <w:shd w:val="clear" w:color="D9D9D9" w:fill="BFBFBF"/>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126,74%</w:t>
            </w:r>
          </w:p>
        </w:tc>
      </w:tr>
    </w:tbl>
    <w:p w:rsidR="00474B1C" w:rsidRDefault="00474B1C" w:rsidP="001146AE">
      <w:pPr>
        <w:spacing w:after="0"/>
        <w:ind w:left="357"/>
        <w:jc w:val="both"/>
        <w:rPr>
          <w:rFonts w:ascii="Times New Roman" w:hAnsi="Times New Roman" w:cs="Times New Roman"/>
          <w:sz w:val="24"/>
          <w:szCs w:val="24"/>
        </w:rPr>
      </w:pPr>
    </w:p>
    <w:p w:rsidR="00474B1C" w:rsidRDefault="00474B1C" w:rsidP="001146AE">
      <w:pPr>
        <w:spacing w:after="0"/>
        <w:ind w:left="357"/>
        <w:jc w:val="both"/>
        <w:rPr>
          <w:rFonts w:ascii="Times New Roman" w:hAnsi="Times New Roman" w:cs="Times New Roman"/>
          <w:sz w:val="24"/>
          <w:szCs w:val="24"/>
        </w:rPr>
      </w:pPr>
      <w:r>
        <w:rPr>
          <w:rFonts w:ascii="Times New Roman" w:hAnsi="Times New Roman" w:cs="Times New Roman"/>
          <w:sz w:val="24"/>
          <w:szCs w:val="24"/>
        </w:rPr>
        <w:t>A társaság egyéb feladatellátásának eredménytervei:</w:t>
      </w:r>
    </w:p>
    <w:p w:rsidR="00474B1C" w:rsidRDefault="00474B1C" w:rsidP="001146AE">
      <w:pPr>
        <w:spacing w:after="0"/>
        <w:ind w:left="357"/>
        <w:jc w:val="both"/>
        <w:rPr>
          <w:rFonts w:ascii="Times New Roman" w:hAnsi="Times New Roman" w:cs="Times New Roman"/>
          <w:sz w:val="24"/>
          <w:szCs w:val="24"/>
        </w:rPr>
      </w:pPr>
    </w:p>
    <w:p w:rsidR="00474B1C" w:rsidRPr="00E937AE"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 xml:space="preserve">A Dunakeszi Közüzemi Nkft. </w:t>
      </w:r>
      <w:r>
        <w:rPr>
          <w:rFonts w:ascii="Times New Roman" w:hAnsi="Times New Roman" w:cs="Times New Roman"/>
          <w:i/>
          <w:iCs/>
          <w:sz w:val="24"/>
          <w:szCs w:val="24"/>
        </w:rPr>
        <w:t xml:space="preserve">városüzemeltetési ágazatának </w:t>
      </w:r>
      <w:r w:rsidRPr="00E937AE">
        <w:rPr>
          <w:rFonts w:ascii="Times New Roman" w:hAnsi="Times New Roman" w:cs="Times New Roman"/>
          <w:i/>
          <w:iCs/>
          <w:sz w:val="24"/>
          <w:szCs w:val="24"/>
        </w:rPr>
        <w:t>2017. évi eredményterve</w:t>
      </w:r>
    </w:p>
    <w:p w:rsidR="00474B1C"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(Adatok E Ft-ban)</w:t>
      </w:r>
    </w:p>
    <w:p w:rsidR="00474B1C" w:rsidRDefault="00474B1C" w:rsidP="001146AE">
      <w:pPr>
        <w:spacing w:after="0"/>
        <w:jc w:val="both"/>
        <w:rPr>
          <w:rFonts w:ascii="Times New Roman" w:hAnsi="Times New Roman" w:cs="Times New Roman"/>
          <w:sz w:val="24"/>
          <w:szCs w:val="24"/>
        </w:rPr>
      </w:pPr>
    </w:p>
    <w:tbl>
      <w:tblPr>
        <w:tblW w:w="8528" w:type="dxa"/>
        <w:tblInd w:w="-68" w:type="dxa"/>
        <w:tblCellMar>
          <w:left w:w="70" w:type="dxa"/>
          <w:right w:w="70" w:type="dxa"/>
        </w:tblCellMar>
        <w:tblLook w:val="00A0"/>
      </w:tblPr>
      <w:tblGrid>
        <w:gridCol w:w="5080"/>
        <w:gridCol w:w="1080"/>
        <w:gridCol w:w="1234"/>
        <w:gridCol w:w="1134"/>
      </w:tblGrid>
      <w:tr w:rsidR="00474B1C" w:rsidRPr="00FC0A19">
        <w:trPr>
          <w:trHeight w:val="330"/>
        </w:trPr>
        <w:tc>
          <w:tcPr>
            <w:tcW w:w="5080" w:type="dxa"/>
            <w:tcBorders>
              <w:top w:val="double" w:sz="6" w:space="0" w:color="000000"/>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c>
          <w:tcPr>
            <w:tcW w:w="1080"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2016 tény</w:t>
            </w:r>
          </w:p>
        </w:tc>
        <w:tc>
          <w:tcPr>
            <w:tcW w:w="1234"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2017 terv</w:t>
            </w:r>
          </w:p>
        </w:tc>
        <w:tc>
          <w:tcPr>
            <w:tcW w:w="1134" w:type="dxa"/>
            <w:tcBorders>
              <w:top w:val="double" w:sz="6" w:space="0" w:color="000000"/>
              <w:left w:val="nil"/>
              <w:bottom w:val="single" w:sz="4" w:space="0" w:color="000000"/>
              <w:right w:val="double" w:sz="6"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Változás</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Városüzemeltetés árbevétele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83 680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83 680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100,00%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bevétel</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BEVÉTELEK ÖSSZESEN</w:t>
            </w:r>
          </w:p>
        </w:tc>
        <w:tc>
          <w:tcPr>
            <w:tcW w:w="1080"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83 680</w:t>
            </w:r>
          </w:p>
        </w:tc>
        <w:tc>
          <w:tcPr>
            <w:tcW w:w="1234"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83 680</w:t>
            </w:r>
          </w:p>
        </w:tc>
        <w:tc>
          <w:tcPr>
            <w:tcW w:w="1134" w:type="dxa"/>
            <w:tcBorders>
              <w:top w:val="nil"/>
              <w:left w:val="nil"/>
              <w:bottom w:val="single" w:sz="4"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100,00%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Anyagköltség</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19 732</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20 206</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Igénybevett szolgáltatások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21</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22</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szolgáltatások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141</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144</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Eladott áruk beszerzési értéke</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lastRenderedPageBreak/>
              <w:t xml:space="preserve">Közvetített szolgáltatások értéke </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12 427</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12 726</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Személyi jellegű ráfordítások összesen</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78 175</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81 302</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104,00%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Értékcsökkenési leírás</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7 178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7 178</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100,00%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ráfordítások</w:t>
            </w:r>
          </w:p>
        </w:tc>
        <w:tc>
          <w:tcPr>
            <w:tcW w:w="108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581</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595</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5080" w:type="dxa"/>
            <w:tcBorders>
              <w:top w:val="nil"/>
              <w:left w:val="double" w:sz="6" w:space="0" w:color="000000"/>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KÖLTSÉGEK, RÁFORDÍTÁSOK ÖSSZESEN</w:t>
            </w:r>
          </w:p>
        </w:tc>
        <w:tc>
          <w:tcPr>
            <w:tcW w:w="1080"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118 256</w:t>
            </w:r>
          </w:p>
        </w:tc>
        <w:tc>
          <w:tcPr>
            <w:tcW w:w="1234"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122 173</w:t>
            </w:r>
          </w:p>
        </w:tc>
        <w:tc>
          <w:tcPr>
            <w:tcW w:w="1134" w:type="dxa"/>
            <w:tcBorders>
              <w:top w:val="nil"/>
              <w:left w:val="nil"/>
              <w:bottom w:val="single" w:sz="4"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103,31%</w:t>
            </w:r>
          </w:p>
        </w:tc>
      </w:tr>
      <w:tr w:rsidR="00474B1C" w:rsidRPr="00FC0A19">
        <w:trPr>
          <w:trHeight w:val="330"/>
        </w:trPr>
        <w:tc>
          <w:tcPr>
            <w:tcW w:w="5080" w:type="dxa"/>
            <w:tcBorders>
              <w:top w:val="nil"/>
              <w:left w:val="double" w:sz="6" w:space="0" w:color="000000"/>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Adózás előtti eredmény</w:t>
            </w:r>
          </w:p>
        </w:tc>
        <w:tc>
          <w:tcPr>
            <w:tcW w:w="1080" w:type="dxa"/>
            <w:tcBorders>
              <w:top w:val="nil"/>
              <w:left w:val="nil"/>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-34 576</w:t>
            </w:r>
          </w:p>
        </w:tc>
        <w:tc>
          <w:tcPr>
            <w:tcW w:w="1234" w:type="dxa"/>
            <w:tcBorders>
              <w:top w:val="nil"/>
              <w:left w:val="nil"/>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-38 493</w:t>
            </w:r>
          </w:p>
        </w:tc>
        <w:tc>
          <w:tcPr>
            <w:tcW w:w="1134" w:type="dxa"/>
            <w:tcBorders>
              <w:top w:val="nil"/>
              <w:left w:val="nil"/>
              <w:bottom w:val="double" w:sz="6"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111,33%</w:t>
            </w:r>
          </w:p>
        </w:tc>
      </w:tr>
    </w:tbl>
    <w:p w:rsidR="00474B1C" w:rsidRDefault="00474B1C" w:rsidP="001146AE">
      <w:pPr>
        <w:spacing w:after="0"/>
        <w:ind w:left="357"/>
        <w:jc w:val="both"/>
        <w:rPr>
          <w:rFonts w:ascii="Times New Roman" w:hAnsi="Times New Roman" w:cs="Times New Roman"/>
          <w:sz w:val="24"/>
          <w:szCs w:val="24"/>
        </w:rPr>
      </w:pPr>
    </w:p>
    <w:p w:rsidR="00474B1C" w:rsidRDefault="00474B1C" w:rsidP="001146AE">
      <w:pPr>
        <w:spacing w:after="0"/>
        <w:jc w:val="center"/>
        <w:rPr>
          <w:rFonts w:ascii="Times New Roman" w:hAnsi="Times New Roman" w:cs="Times New Roman"/>
          <w:i/>
          <w:iCs/>
          <w:sz w:val="24"/>
          <w:szCs w:val="24"/>
        </w:rPr>
      </w:pPr>
    </w:p>
    <w:p w:rsidR="00474B1C" w:rsidRDefault="00474B1C" w:rsidP="001146AE">
      <w:pPr>
        <w:spacing w:after="0"/>
        <w:jc w:val="center"/>
        <w:rPr>
          <w:rFonts w:ascii="Times New Roman" w:hAnsi="Times New Roman" w:cs="Times New Roman"/>
          <w:i/>
          <w:iCs/>
          <w:sz w:val="24"/>
          <w:szCs w:val="24"/>
        </w:rPr>
      </w:pPr>
    </w:p>
    <w:p w:rsidR="00474B1C" w:rsidRDefault="00474B1C" w:rsidP="001146AE">
      <w:pPr>
        <w:spacing w:after="0"/>
        <w:jc w:val="center"/>
        <w:rPr>
          <w:rFonts w:ascii="Times New Roman" w:hAnsi="Times New Roman" w:cs="Times New Roman"/>
          <w:i/>
          <w:iCs/>
          <w:sz w:val="24"/>
          <w:szCs w:val="24"/>
        </w:rPr>
      </w:pPr>
    </w:p>
    <w:p w:rsidR="00474B1C" w:rsidRDefault="00474B1C" w:rsidP="001146AE">
      <w:pPr>
        <w:spacing w:after="0"/>
        <w:jc w:val="center"/>
        <w:rPr>
          <w:rFonts w:ascii="Times New Roman" w:hAnsi="Times New Roman" w:cs="Times New Roman"/>
          <w:i/>
          <w:iCs/>
          <w:sz w:val="24"/>
          <w:szCs w:val="24"/>
        </w:rPr>
      </w:pPr>
    </w:p>
    <w:p w:rsidR="00474B1C" w:rsidRPr="00E937AE"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 xml:space="preserve">A Dunakeszi Közüzemi Nkft. </w:t>
      </w:r>
      <w:r>
        <w:rPr>
          <w:rFonts w:ascii="Times New Roman" w:hAnsi="Times New Roman" w:cs="Times New Roman"/>
          <w:i/>
          <w:iCs/>
          <w:sz w:val="24"/>
          <w:szCs w:val="24"/>
        </w:rPr>
        <w:t xml:space="preserve">városgazdálkodási ágazatának </w:t>
      </w:r>
      <w:r w:rsidRPr="00E937AE">
        <w:rPr>
          <w:rFonts w:ascii="Times New Roman" w:hAnsi="Times New Roman" w:cs="Times New Roman"/>
          <w:i/>
          <w:iCs/>
          <w:sz w:val="24"/>
          <w:szCs w:val="24"/>
        </w:rPr>
        <w:t>2017. évi eredményterve</w:t>
      </w:r>
    </w:p>
    <w:p w:rsidR="00474B1C" w:rsidRDefault="00474B1C" w:rsidP="001146AE">
      <w:pPr>
        <w:spacing w:after="0"/>
        <w:jc w:val="center"/>
        <w:rPr>
          <w:rFonts w:ascii="Times New Roman" w:hAnsi="Times New Roman" w:cs="Times New Roman"/>
          <w:i/>
          <w:iCs/>
          <w:sz w:val="24"/>
          <w:szCs w:val="24"/>
        </w:rPr>
      </w:pPr>
      <w:r w:rsidRPr="00E937AE">
        <w:rPr>
          <w:rFonts w:ascii="Times New Roman" w:hAnsi="Times New Roman" w:cs="Times New Roman"/>
          <w:i/>
          <w:iCs/>
          <w:sz w:val="24"/>
          <w:szCs w:val="24"/>
        </w:rPr>
        <w:t>(Adatok E Ft-ban)</w:t>
      </w:r>
    </w:p>
    <w:p w:rsidR="00474B1C" w:rsidRDefault="00474B1C" w:rsidP="001146AE">
      <w:pPr>
        <w:spacing w:after="0"/>
        <w:jc w:val="both"/>
        <w:rPr>
          <w:rFonts w:ascii="Times New Roman" w:hAnsi="Times New Roman" w:cs="Times New Roman"/>
          <w:sz w:val="24"/>
          <w:szCs w:val="24"/>
        </w:rPr>
      </w:pPr>
    </w:p>
    <w:tbl>
      <w:tblPr>
        <w:tblW w:w="8528" w:type="dxa"/>
        <w:tblInd w:w="-68" w:type="dxa"/>
        <w:tblCellMar>
          <w:left w:w="70" w:type="dxa"/>
          <w:right w:w="70" w:type="dxa"/>
        </w:tblCellMar>
        <w:tblLook w:val="00A0"/>
      </w:tblPr>
      <w:tblGrid>
        <w:gridCol w:w="4890"/>
        <w:gridCol w:w="1270"/>
        <w:gridCol w:w="1234"/>
        <w:gridCol w:w="1134"/>
      </w:tblGrid>
      <w:tr w:rsidR="00474B1C" w:rsidRPr="00FC0A19">
        <w:trPr>
          <w:trHeight w:val="330"/>
        </w:trPr>
        <w:tc>
          <w:tcPr>
            <w:tcW w:w="4890" w:type="dxa"/>
            <w:tcBorders>
              <w:top w:val="double" w:sz="6" w:space="0" w:color="000000"/>
              <w:left w:val="double" w:sz="6" w:space="0" w:color="000000"/>
              <w:bottom w:val="single" w:sz="4" w:space="0" w:color="000000"/>
              <w:right w:val="single" w:sz="4" w:space="0" w:color="000000"/>
            </w:tcBorders>
            <w:shd w:val="clear" w:color="000000" w:fill="BFBFBF"/>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 </w:t>
            </w:r>
          </w:p>
        </w:tc>
        <w:tc>
          <w:tcPr>
            <w:tcW w:w="1270"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2016 tény</w:t>
            </w:r>
          </w:p>
        </w:tc>
        <w:tc>
          <w:tcPr>
            <w:tcW w:w="1234" w:type="dxa"/>
            <w:tcBorders>
              <w:top w:val="double" w:sz="6" w:space="0" w:color="000000"/>
              <w:left w:val="nil"/>
              <w:bottom w:val="single" w:sz="4" w:space="0" w:color="000000"/>
              <w:right w:val="single" w:sz="4"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2017 terv</w:t>
            </w:r>
          </w:p>
        </w:tc>
        <w:tc>
          <w:tcPr>
            <w:tcW w:w="1134" w:type="dxa"/>
            <w:tcBorders>
              <w:top w:val="double" w:sz="6" w:space="0" w:color="000000"/>
              <w:left w:val="nil"/>
              <w:bottom w:val="single" w:sz="4" w:space="0" w:color="000000"/>
              <w:right w:val="double" w:sz="6" w:space="0" w:color="000000"/>
            </w:tcBorders>
            <w:shd w:val="clear" w:color="D9D9D9" w:fill="BFBFBF"/>
            <w:noWrap/>
            <w:vAlign w:val="center"/>
          </w:tcPr>
          <w:p w:rsidR="00474B1C" w:rsidRPr="007B55B8" w:rsidRDefault="00474B1C" w:rsidP="00360A4F">
            <w:pPr>
              <w:spacing w:after="0" w:line="240" w:lineRule="auto"/>
              <w:jc w:val="center"/>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Változás</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Vagyongazdálkodás árbevétele</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585 680</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513 780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87,72%</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bevétel</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573 738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382 557</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66,68%</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BEVÉTELEK ÖSSZESEN</w:t>
            </w:r>
          </w:p>
        </w:tc>
        <w:tc>
          <w:tcPr>
            <w:tcW w:w="1270"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1 159 418</w:t>
            </w:r>
          </w:p>
        </w:tc>
        <w:tc>
          <w:tcPr>
            <w:tcW w:w="1234"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896 337</w:t>
            </w:r>
          </w:p>
        </w:tc>
        <w:tc>
          <w:tcPr>
            <w:tcW w:w="1134" w:type="dxa"/>
            <w:tcBorders>
              <w:top w:val="nil"/>
              <w:left w:val="nil"/>
              <w:bottom w:val="single" w:sz="4"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77,31%</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Anyagköltség</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141 575</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92 160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65,10%</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Igénybevett szolgáltatások értéke</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293 384</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222 089</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75,70%</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szolgáltatások értéke</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18 058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18 492</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Eladott áruk beszerzési értéke</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3 205</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3 282</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102,40%</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Közvetített szolgáltatások értéke</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227 235</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125 000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55,01%</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Személyi jellegű ráfordítások összesen</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210 868</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169 832</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80,54%</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Értékcsökkenési leírás</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55 737</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70 000</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125,59%</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noWrap/>
            <w:vAlign w:val="center"/>
          </w:tcPr>
          <w:p w:rsidR="00474B1C" w:rsidRPr="007B55B8" w:rsidRDefault="00474B1C" w:rsidP="00360A4F">
            <w:pPr>
              <w:spacing w:after="0" w:line="240" w:lineRule="auto"/>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Egyéb ráfordítások</w:t>
            </w:r>
          </w:p>
        </w:tc>
        <w:tc>
          <w:tcPr>
            <w:tcW w:w="1270"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581 253</w:t>
            </w:r>
          </w:p>
        </w:tc>
        <w:tc>
          <w:tcPr>
            <w:tcW w:w="1234" w:type="dxa"/>
            <w:tcBorders>
              <w:top w:val="nil"/>
              <w:left w:val="nil"/>
              <w:bottom w:val="single" w:sz="4" w:space="0" w:color="000000"/>
              <w:right w:val="single" w:sz="4"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383 857</w:t>
            </w:r>
          </w:p>
        </w:tc>
        <w:tc>
          <w:tcPr>
            <w:tcW w:w="1134" w:type="dxa"/>
            <w:tcBorders>
              <w:top w:val="nil"/>
              <w:left w:val="nil"/>
              <w:bottom w:val="single" w:sz="4" w:space="0" w:color="000000"/>
              <w:right w:val="double" w:sz="6" w:space="0" w:color="000000"/>
            </w:tcBorders>
            <w:noWrap/>
            <w:vAlign w:val="center"/>
          </w:tcPr>
          <w:p w:rsidR="00474B1C" w:rsidRPr="007B55B8" w:rsidRDefault="00474B1C" w:rsidP="00360A4F">
            <w:pPr>
              <w:spacing w:after="0" w:line="240" w:lineRule="auto"/>
              <w:jc w:val="right"/>
              <w:rPr>
                <w:rFonts w:ascii="Times New Roman" w:hAnsi="Times New Roman" w:cs="Times New Roman"/>
                <w:color w:val="000000"/>
                <w:sz w:val="24"/>
                <w:szCs w:val="24"/>
                <w:lang w:eastAsia="hu-HU"/>
              </w:rPr>
            </w:pPr>
            <w:r w:rsidRPr="007B55B8">
              <w:rPr>
                <w:rFonts w:ascii="Times New Roman" w:hAnsi="Times New Roman" w:cs="Times New Roman"/>
                <w:color w:val="000000"/>
                <w:sz w:val="24"/>
                <w:szCs w:val="24"/>
                <w:lang w:eastAsia="hu-HU"/>
              </w:rPr>
              <w:t>66,</w:t>
            </w:r>
            <w:r>
              <w:rPr>
                <w:rFonts w:ascii="Times New Roman" w:hAnsi="Times New Roman" w:cs="Times New Roman"/>
                <w:color w:val="000000"/>
                <w:sz w:val="24"/>
                <w:szCs w:val="24"/>
                <w:lang w:eastAsia="hu-HU"/>
              </w:rPr>
              <w:t>04</w:t>
            </w:r>
          </w:p>
        </w:tc>
      </w:tr>
      <w:tr w:rsidR="00474B1C" w:rsidRPr="00FC0A19">
        <w:trPr>
          <w:trHeight w:val="315"/>
        </w:trPr>
        <w:tc>
          <w:tcPr>
            <w:tcW w:w="4890" w:type="dxa"/>
            <w:tcBorders>
              <w:top w:val="nil"/>
              <w:left w:val="double" w:sz="6" w:space="0" w:color="000000"/>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KÖLTSÉGEK, RÁFORDÍTÁSOK ÖSSZESEN</w:t>
            </w:r>
          </w:p>
        </w:tc>
        <w:tc>
          <w:tcPr>
            <w:tcW w:w="1270"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w:t>
            </w:r>
            <w:r>
              <w:rPr>
                <w:rFonts w:ascii="Times New Roman" w:hAnsi="Times New Roman" w:cs="Times New Roman"/>
                <w:b/>
                <w:bCs/>
                <w:color w:val="000000"/>
                <w:sz w:val="24"/>
                <w:szCs w:val="24"/>
                <w:lang w:eastAsia="hu-HU"/>
              </w:rPr>
              <w:t> 531 316</w:t>
            </w:r>
          </w:p>
        </w:tc>
        <w:tc>
          <w:tcPr>
            <w:tcW w:w="1234" w:type="dxa"/>
            <w:tcBorders>
              <w:top w:val="nil"/>
              <w:left w:val="nil"/>
              <w:bottom w:val="single" w:sz="4"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1</w:t>
            </w:r>
            <w:r>
              <w:rPr>
                <w:rFonts w:ascii="Times New Roman" w:hAnsi="Times New Roman" w:cs="Times New Roman"/>
                <w:b/>
                <w:bCs/>
                <w:color w:val="000000"/>
                <w:sz w:val="24"/>
                <w:szCs w:val="24"/>
                <w:lang w:eastAsia="hu-HU"/>
              </w:rPr>
              <w:t> 084 712</w:t>
            </w:r>
          </w:p>
        </w:tc>
        <w:tc>
          <w:tcPr>
            <w:tcW w:w="1134" w:type="dxa"/>
            <w:tcBorders>
              <w:top w:val="nil"/>
              <w:left w:val="nil"/>
              <w:bottom w:val="single" w:sz="4"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b/>
                <w:bCs/>
                <w:color w:val="000000"/>
                <w:sz w:val="24"/>
                <w:szCs w:val="24"/>
                <w:lang w:eastAsia="hu-HU"/>
              </w:rPr>
            </w:pPr>
            <w:r w:rsidRPr="007B55B8">
              <w:rPr>
                <w:rFonts w:ascii="Times New Roman" w:hAnsi="Times New Roman" w:cs="Times New Roman"/>
                <w:b/>
                <w:bCs/>
                <w:color w:val="000000"/>
                <w:sz w:val="24"/>
                <w:szCs w:val="24"/>
                <w:lang w:eastAsia="hu-HU"/>
              </w:rPr>
              <w:t>7</w:t>
            </w:r>
            <w:r>
              <w:rPr>
                <w:rFonts w:ascii="Times New Roman" w:hAnsi="Times New Roman" w:cs="Times New Roman"/>
                <w:b/>
                <w:bCs/>
                <w:color w:val="000000"/>
                <w:sz w:val="24"/>
                <w:szCs w:val="24"/>
                <w:lang w:eastAsia="hu-HU"/>
              </w:rPr>
              <w:t>0</w:t>
            </w:r>
            <w:r w:rsidRPr="007B55B8">
              <w:rPr>
                <w:rFonts w:ascii="Times New Roman" w:hAnsi="Times New Roman" w:cs="Times New Roman"/>
                <w:b/>
                <w:bCs/>
                <w:color w:val="000000"/>
                <w:sz w:val="24"/>
                <w:szCs w:val="24"/>
                <w:lang w:eastAsia="hu-HU"/>
              </w:rPr>
              <w:t>,</w:t>
            </w:r>
            <w:r>
              <w:rPr>
                <w:rFonts w:ascii="Times New Roman" w:hAnsi="Times New Roman" w:cs="Times New Roman"/>
                <w:b/>
                <w:bCs/>
                <w:color w:val="000000"/>
                <w:sz w:val="24"/>
                <w:szCs w:val="24"/>
                <w:lang w:eastAsia="hu-HU"/>
              </w:rPr>
              <w:t>84</w:t>
            </w:r>
            <w:r w:rsidRPr="007B55B8">
              <w:rPr>
                <w:rFonts w:ascii="Times New Roman" w:hAnsi="Times New Roman" w:cs="Times New Roman"/>
                <w:b/>
                <w:bCs/>
                <w:color w:val="000000"/>
                <w:sz w:val="24"/>
                <w:szCs w:val="24"/>
                <w:lang w:eastAsia="hu-HU"/>
              </w:rPr>
              <w:t>%</w:t>
            </w:r>
          </w:p>
        </w:tc>
      </w:tr>
      <w:tr w:rsidR="00474B1C" w:rsidRPr="00FC0A19">
        <w:trPr>
          <w:trHeight w:val="330"/>
        </w:trPr>
        <w:tc>
          <w:tcPr>
            <w:tcW w:w="4890" w:type="dxa"/>
            <w:tcBorders>
              <w:top w:val="nil"/>
              <w:left w:val="double" w:sz="6" w:space="0" w:color="000000"/>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Adózás előtti eredmény</w:t>
            </w:r>
          </w:p>
        </w:tc>
        <w:tc>
          <w:tcPr>
            <w:tcW w:w="1270" w:type="dxa"/>
            <w:tcBorders>
              <w:top w:val="nil"/>
              <w:left w:val="nil"/>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w:t>
            </w:r>
            <w:r>
              <w:rPr>
                <w:rFonts w:ascii="Times New Roman" w:hAnsi="Times New Roman" w:cs="Times New Roman"/>
                <w:i/>
                <w:iCs/>
                <w:color w:val="000000"/>
                <w:sz w:val="24"/>
                <w:szCs w:val="24"/>
                <w:lang w:eastAsia="hu-HU"/>
              </w:rPr>
              <w:t>371 898</w:t>
            </w:r>
          </w:p>
        </w:tc>
        <w:tc>
          <w:tcPr>
            <w:tcW w:w="1234" w:type="dxa"/>
            <w:tcBorders>
              <w:top w:val="nil"/>
              <w:left w:val="nil"/>
              <w:bottom w:val="double" w:sz="6" w:space="0" w:color="000000"/>
              <w:right w:val="single" w:sz="4"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-18</w:t>
            </w:r>
            <w:r>
              <w:rPr>
                <w:rFonts w:ascii="Times New Roman" w:hAnsi="Times New Roman" w:cs="Times New Roman"/>
                <w:i/>
                <w:iCs/>
                <w:color w:val="000000"/>
                <w:sz w:val="24"/>
                <w:szCs w:val="24"/>
                <w:lang w:eastAsia="hu-HU"/>
              </w:rPr>
              <w:t>8375</w:t>
            </w:r>
          </w:p>
        </w:tc>
        <w:tc>
          <w:tcPr>
            <w:tcW w:w="1134" w:type="dxa"/>
            <w:tcBorders>
              <w:top w:val="nil"/>
              <w:left w:val="nil"/>
              <w:bottom w:val="double" w:sz="6" w:space="0" w:color="000000"/>
              <w:right w:val="double" w:sz="6" w:space="0" w:color="000000"/>
            </w:tcBorders>
            <w:shd w:val="clear" w:color="D9D9D9" w:fill="D9D9D9"/>
            <w:noWrap/>
            <w:vAlign w:val="center"/>
          </w:tcPr>
          <w:p w:rsidR="00474B1C" w:rsidRPr="007B55B8" w:rsidRDefault="00474B1C" w:rsidP="00360A4F">
            <w:pPr>
              <w:spacing w:after="0" w:line="240" w:lineRule="auto"/>
              <w:jc w:val="right"/>
              <w:rPr>
                <w:rFonts w:ascii="Times New Roman" w:hAnsi="Times New Roman" w:cs="Times New Roman"/>
                <w:i/>
                <w:iCs/>
                <w:color w:val="000000"/>
                <w:sz w:val="24"/>
                <w:szCs w:val="24"/>
                <w:lang w:eastAsia="hu-HU"/>
              </w:rPr>
            </w:pPr>
            <w:r w:rsidRPr="007B55B8">
              <w:rPr>
                <w:rFonts w:ascii="Times New Roman" w:hAnsi="Times New Roman" w:cs="Times New Roman"/>
                <w:i/>
                <w:iCs/>
                <w:color w:val="000000"/>
                <w:sz w:val="24"/>
                <w:szCs w:val="24"/>
                <w:lang w:eastAsia="hu-HU"/>
              </w:rPr>
              <w:t>5</w:t>
            </w:r>
            <w:r>
              <w:rPr>
                <w:rFonts w:ascii="Times New Roman" w:hAnsi="Times New Roman" w:cs="Times New Roman"/>
                <w:i/>
                <w:iCs/>
                <w:color w:val="000000"/>
                <w:sz w:val="24"/>
                <w:szCs w:val="24"/>
                <w:lang w:eastAsia="hu-HU"/>
              </w:rPr>
              <w:t>0</w:t>
            </w:r>
            <w:r w:rsidRPr="007B55B8">
              <w:rPr>
                <w:rFonts w:ascii="Times New Roman" w:hAnsi="Times New Roman" w:cs="Times New Roman"/>
                <w:i/>
                <w:iCs/>
                <w:color w:val="000000"/>
                <w:sz w:val="24"/>
                <w:szCs w:val="24"/>
                <w:lang w:eastAsia="hu-HU"/>
              </w:rPr>
              <w:t>,</w:t>
            </w:r>
            <w:r>
              <w:rPr>
                <w:rFonts w:ascii="Times New Roman" w:hAnsi="Times New Roman" w:cs="Times New Roman"/>
                <w:i/>
                <w:iCs/>
                <w:color w:val="000000"/>
                <w:sz w:val="24"/>
                <w:szCs w:val="24"/>
                <w:lang w:eastAsia="hu-HU"/>
              </w:rPr>
              <w:t>65</w:t>
            </w:r>
            <w:r w:rsidRPr="007B55B8">
              <w:rPr>
                <w:rFonts w:ascii="Times New Roman" w:hAnsi="Times New Roman" w:cs="Times New Roman"/>
                <w:i/>
                <w:iCs/>
                <w:color w:val="000000"/>
                <w:sz w:val="24"/>
                <w:szCs w:val="24"/>
                <w:lang w:eastAsia="hu-HU"/>
              </w:rPr>
              <w:t>%</w:t>
            </w:r>
          </w:p>
        </w:tc>
      </w:tr>
    </w:tbl>
    <w:p w:rsidR="00474B1C" w:rsidRDefault="00474B1C" w:rsidP="001146AE">
      <w:pPr>
        <w:spacing w:after="0"/>
        <w:ind w:left="357"/>
        <w:jc w:val="both"/>
        <w:rPr>
          <w:rFonts w:ascii="Times New Roman" w:hAnsi="Times New Roman" w:cs="Times New Roman"/>
          <w:sz w:val="24"/>
          <w:szCs w:val="24"/>
        </w:rPr>
      </w:pPr>
    </w:p>
    <w:p w:rsidR="00474B1C" w:rsidRPr="00702DAE" w:rsidRDefault="00474B1C" w:rsidP="00B047C3">
      <w:pPr>
        <w:spacing w:after="0"/>
        <w:ind w:left="357"/>
        <w:jc w:val="both"/>
        <w:rPr>
          <w:rFonts w:ascii="Times New Roman" w:hAnsi="Times New Roman" w:cs="Times New Roman"/>
          <w:sz w:val="24"/>
          <w:szCs w:val="24"/>
        </w:rPr>
      </w:pPr>
    </w:p>
    <w:sectPr w:rsidR="00474B1C" w:rsidRPr="00702DAE" w:rsidSect="002C642A">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B1C" w:rsidRDefault="00474B1C" w:rsidP="00272D91">
      <w:pPr>
        <w:spacing w:after="0" w:line="240" w:lineRule="auto"/>
      </w:pPr>
      <w:r>
        <w:separator/>
      </w:r>
    </w:p>
  </w:endnote>
  <w:endnote w:type="continuationSeparator" w:id="0">
    <w:p w:rsidR="00474B1C" w:rsidRDefault="00474B1C" w:rsidP="00272D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B1C" w:rsidRDefault="00474B1C" w:rsidP="00FC0A19">
    <w:pPr>
      <w:pStyle w:val="llb"/>
      <w:pBdr>
        <w:top w:val="thinThickSmallGap" w:sz="24" w:space="1" w:color="622423"/>
      </w:pBdr>
      <w:tabs>
        <w:tab w:val="clear" w:pos="4536"/>
      </w:tabs>
      <w:rPr>
        <w:rFonts w:ascii="Cambria" w:hAnsi="Cambria" w:cs="Cambria"/>
      </w:rPr>
    </w:pPr>
    <w:r>
      <w:rPr>
        <w:rFonts w:ascii="Cambria" w:hAnsi="Cambria" w:cs="Cambria"/>
      </w:rPr>
      <w:t>A Dunakeszi Közüzemi Nkft. 2017. évi üzleti terve</w:t>
    </w:r>
    <w:r>
      <w:rPr>
        <w:rFonts w:ascii="Cambria" w:hAnsi="Cambria" w:cs="Cambria"/>
      </w:rPr>
      <w:tab/>
      <w:t xml:space="preserve">Oldal </w:t>
    </w:r>
    <w:fldSimple w:instr="PAGE   \* MERGEFORMAT">
      <w:r w:rsidR="00C86317" w:rsidRPr="00C86317">
        <w:rPr>
          <w:rFonts w:ascii="Cambria" w:hAnsi="Cambria" w:cs="Cambria"/>
          <w:noProof/>
        </w:rPr>
        <w:t>22</w:t>
      </w:r>
    </w:fldSimple>
  </w:p>
  <w:p w:rsidR="00474B1C" w:rsidRDefault="00474B1C">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B1C" w:rsidRDefault="00474B1C" w:rsidP="00272D91">
      <w:pPr>
        <w:spacing w:after="0" w:line="240" w:lineRule="auto"/>
      </w:pPr>
      <w:r>
        <w:separator/>
      </w:r>
    </w:p>
  </w:footnote>
  <w:footnote w:type="continuationSeparator" w:id="0">
    <w:p w:rsidR="00474B1C" w:rsidRDefault="00474B1C" w:rsidP="00272D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4267D"/>
    <w:multiLevelType w:val="multilevel"/>
    <w:tmpl w:val="7F30E27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D064111"/>
    <w:multiLevelType w:val="hybridMultilevel"/>
    <w:tmpl w:val="F4E8328A"/>
    <w:lvl w:ilvl="0" w:tplc="040E0001">
      <w:start w:val="1"/>
      <w:numFmt w:val="bullet"/>
      <w:lvlText w:val=""/>
      <w:lvlJc w:val="left"/>
      <w:pPr>
        <w:ind w:left="1069" w:hanging="360"/>
      </w:pPr>
      <w:rPr>
        <w:rFonts w:ascii="Symbol" w:hAnsi="Symbol" w:cs="Symbol" w:hint="default"/>
      </w:rPr>
    </w:lvl>
    <w:lvl w:ilvl="1" w:tplc="040E0003">
      <w:start w:val="1"/>
      <w:numFmt w:val="bullet"/>
      <w:lvlText w:val="o"/>
      <w:lvlJc w:val="left"/>
      <w:pPr>
        <w:ind w:left="1789" w:hanging="360"/>
      </w:pPr>
      <w:rPr>
        <w:rFonts w:ascii="Courier New" w:hAnsi="Courier New" w:cs="Courier New" w:hint="default"/>
      </w:rPr>
    </w:lvl>
    <w:lvl w:ilvl="2" w:tplc="040E0005">
      <w:start w:val="1"/>
      <w:numFmt w:val="bullet"/>
      <w:lvlText w:val=""/>
      <w:lvlJc w:val="left"/>
      <w:pPr>
        <w:ind w:left="2509" w:hanging="360"/>
      </w:pPr>
      <w:rPr>
        <w:rFonts w:ascii="Wingdings" w:hAnsi="Wingdings" w:cs="Wingdings" w:hint="default"/>
      </w:rPr>
    </w:lvl>
    <w:lvl w:ilvl="3" w:tplc="040E0001">
      <w:start w:val="1"/>
      <w:numFmt w:val="bullet"/>
      <w:lvlText w:val=""/>
      <w:lvlJc w:val="left"/>
      <w:pPr>
        <w:ind w:left="3229" w:hanging="360"/>
      </w:pPr>
      <w:rPr>
        <w:rFonts w:ascii="Symbol" w:hAnsi="Symbol" w:cs="Symbol" w:hint="default"/>
      </w:rPr>
    </w:lvl>
    <w:lvl w:ilvl="4" w:tplc="040E0003">
      <w:start w:val="1"/>
      <w:numFmt w:val="bullet"/>
      <w:lvlText w:val="o"/>
      <w:lvlJc w:val="left"/>
      <w:pPr>
        <w:ind w:left="3949" w:hanging="360"/>
      </w:pPr>
      <w:rPr>
        <w:rFonts w:ascii="Courier New" w:hAnsi="Courier New" w:cs="Courier New" w:hint="default"/>
      </w:rPr>
    </w:lvl>
    <w:lvl w:ilvl="5" w:tplc="040E0005">
      <w:start w:val="1"/>
      <w:numFmt w:val="bullet"/>
      <w:lvlText w:val=""/>
      <w:lvlJc w:val="left"/>
      <w:pPr>
        <w:ind w:left="4669" w:hanging="360"/>
      </w:pPr>
      <w:rPr>
        <w:rFonts w:ascii="Wingdings" w:hAnsi="Wingdings" w:cs="Wingdings" w:hint="default"/>
      </w:rPr>
    </w:lvl>
    <w:lvl w:ilvl="6" w:tplc="040E0001">
      <w:start w:val="1"/>
      <w:numFmt w:val="bullet"/>
      <w:lvlText w:val=""/>
      <w:lvlJc w:val="left"/>
      <w:pPr>
        <w:ind w:left="5389" w:hanging="360"/>
      </w:pPr>
      <w:rPr>
        <w:rFonts w:ascii="Symbol" w:hAnsi="Symbol" w:cs="Symbol" w:hint="default"/>
      </w:rPr>
    </w:lvl>
    <w:lvl w:ilvl="7" w:tplc="040E0003">
      <w:start w:val="1"/>
      <w:numFmt w:val="bullet"/>
      <w:lvlText w:val="o"/>
      <w:lvlJc w:val="left"/>
      <w:pPr>
        <w:ind w:left="6109" w:hanging="360"/>
      </w:pPr>
      <w:rPr>
        <w:rFonts w:ascii="Courier New" w:hAnsi="Courier New" w:cs="Courier New" w:hint="default"/>
      </w:rPr>
    </w:lvl>
    <w:lvl w:ilvl="8" w:tplc="040E0005">
      <w:start w:val="1"/>
      <w:numFmt w:val="bullet"/>
      <w:lvlText w:val=""/>
      <w:lvlJc w:val="left"/>
      <w:pPr>
        <w:ind w:left="6829" w:hanging="360"/>
      </w:pPr>
      <w:rPr>
        <w:rFonts w:ascii="Wingdings" w:hAnsi="Wingdings" w:cs="Wingdings" w:hint="default"/>
      </w:rPr>
    </w:lvl>
  </w:abstractNum>
  <w:abstractNum w:abstractNumId="2">
    <w:nsid w:val="166F4C52"/>
    <w:multiLevelType w:val="hybridMultilevel"/>
    <w:tmpl w:val="2DAECFA4"/>
    <w:lvl w:ilvl="0" w:tplc="9FD4047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
    <w:nsid w:val="182D37E5"/>
    <w:multiLevelType w:val="hybridMultilevel"/>
    <w:tmpl w:val="F22ACB5A"/>
    <w:lvl w:ilvl="0" w:tplc="040E0001">
      <w:start w:val="1"/>
      <w:numFmt w:val="bullet"/>
      <w:lvlText w:val=""/>
      <w:lvlJc w:val="left"/>
      <w:pPr>
        <w:ind w:left="1080" w:hanging="360"/>
      </w:pPr>
      <w:rPr>
        <w:rFonts w:ascii="Symbol" w:hAnsi="Symbol" w:cs="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4">
    <w:nsid w:val="1928509F"/>
    <w:multiLevelType w:val="hybridMultilevel"/>
    <w:tmpl w:val="826E4F32"/>
    <w:lvl w:ilvl="0" w:tplc="08308472">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5">
    <w:nsid w:val="1FE83289"/>
    <w:multiLevelType w:val="hybridMultilevel"/>
    <w:tmpl w:val="90660B40"/>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6">
    <w:nsid w:val="2D683B5D"/>
    <w:multiLevelType w:val="hybridMultilevel"/>
    <w:tmpl w:val="41FA9EBE"/>
    <w:lvl w:ilvl="0" w:tplc="040E0001">
      <w:start w:val="1"/>
      <w:numFmt w:val="bullet"/>
      <w:lvlText w:val=""/>
      <w:lvlJc w:val="left"/>
      <w:pPr>
        <w:ind w:left="1080" w:hanging="360"/>
      </w:pPr>
      <w:rPr>
        <w:rFonts w:ascii="Symbol" w:hAnsi="Symbol" w:cs="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7">
    <w:nsid w:val="34E7357C"/>
    <w:multiLevelType w:val="multilevel"/>
    <w:tmpl w:val="D9263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65359A0"/>
    <w:multiLevelType w:val="hybridMultilevel"/>
    <w:tmpl w:val="C1CAE6C0"/>
    <w:lvl w:ilvl="0" w:tplc="8728A47C">
      <w:numFmt w:val="bullet"/>
      <w:lvlText w:val="-"/>
      <w:lvlJc w:val="left"/>
      <w:pPr>
        <w:ind w:left="720" w:hanging="360"/>
      </w:pPr>
      <w:rPr>
        <w:rFonts w:ascii="Calibri" w:eastAsia="Times New Roman" w:hAnsi="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9">
    <w:nsid w:val="5A86114D"/>
    <w:multiLevelType w:val="hybridMultilevel"/>
    <w:tmpl w:val="EDB6EE2E"/>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0">
    <w:nsid w:val="5C200AAE"/>
    <w:multiLevelType w:val="hybridMultilevel"/>
    <w:tmpl w:val="0708F92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nsid w:val="5E523DFE"/>
    <w:multiLevelType w:val="hybridMultilevel"/>
    <w:tmpl w:val="497CAE0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nsid w:val="6D6A5BD0"/>
    <w:multiLevelType w:val="hybridMultilevel"/>
    <w:tmpl w:val="25708828"/>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3">
    <w:nsid w:val="6DA75C4A"/>
    <w:multiLevelType w:val="multilevel"/>
    <w:tmpl w:val="1498568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nsid w:val="6E6D28D0"/>
    <w:multiLevelType w:val="hybridMultilevel"/>
    <w:tmpl w:val="CA0A86B0"/>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5">
    <w:nsid w:val="731A07A1"/>
    <w:multiLevelType w:val="multilevel"/>
    <w:tmpl w:val="C8BEA43A"/>
    <w:lvl w:ilvl="0">
      <w:start w:val="3"/>
      <w:numFmt w:val="decimal"/>
      <w:lvlText w:val="%1."/>
      <w:lvlJc w:val="left"/>
      <w:pPr>
        <w:ind w:left="540" w:hanging="540"/>
      </w:pPr>
      <w:rPr>
        <w:rFonts w:hint="default"/>
      </w:rPr>
    </w:lvl>
    <w:lvl w:ilvl="1">
      <w:start w:val="1"/>
      <w:numFmt w:val="decimal"/>
      <w:lvlText w:val="%1.%2."/>
      <w:lvlJc w:val="left"/>
      <w:pPr>
        <w:ind w:left="1108" w:hanging="54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7"/>
  </w:num>
  <w:num w:numId="2">
    <w:abstractNumId w:val="2"/>
  </w:num>
  <w:num w:numId="3">
    <w:abstractNumId w:val="4"/>
  </w:num>
  <w:num w:numId="4">
    <w:abstractNumId w:val="9"/>
  </w:num>
  <w:num w:numId="5">
    <w:abstractNumId w:val="10"/>
  </w:num>
  <w:num w:numId="6">
    <w:abstractNumId w:val="3"/>
  </w:num>
  <w:num w:numId="7">
    <w:abstractNumId w:val="6"/>
  </w:num>
  <w:num w:numId="8">
    <w:abstractNumId w:val="13"/>
  </w:num>
  <w:num w:numId="9">
    <w:abstractNumId w:val="15"/>
  </w:num>
  <w:num w:numId="10">
    <w:abstractNumId w:val="1"/>
  </w:num>
  <w:num w:numId="11">
    <w:abstractNumId w:val="0"/>
  </w:num>
  <w:num w:numId="12">
    <w:abstractNumId w:val="11"/>
  </w:num>
  <w:num w:numId="13">
    <w:abstractNumId w:val="8"/>
  </w:num>
  <w:num w:numId="14">
    <w:abstractNumId w:val="5"/>
  </w:num>
  <w:num w:numId="15">
    <w:abstractNumId w:val="14"/>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702DAE"/>
    <w:rsid w:val="00001077"/>
    <w:rsid w:val="00026777"/>
    <w:rsid w:val="00046ACF"/>
    <w:rsid w:val="00057FD4"/>
    <w:rsid w:val="00061DF6"/>
    <w:rsid w:val="0011341D"/>
    <w:rsid w:val="001146AE"/>
    <w:rsid w:val="00114B0D"/>
    <w:rsid w:val="00135375"/>
    <w:rsid w:val="00165020"/>
    <w:rsid w:val="00167BCD"/>
    <w:rsid w:val="00180DE7"/>
    <w:rsid w:val="001E5B0D"/>
    <w:rsid w:val="0021726F"/>
    <w:rsid w:val="00237166"/>
    <w:rsid w:val="00256D1F"/>
    <w:rsid w:val="00272D91"/>
    <w:rsid w:val="00274957"/>
    <w:rsid w:val="002C642A"/>
    <w:rsid w:val="002D0362"/>
    <w:rsid w:val="002E37BC"/>
    <w:rsid w:val="00312876"/>
    <w:rsid w:val="003249A1"/>
    <w:rsid w:val="003415BD"/>
    <w:rsid w:val="00350A66"/>
    <w:rsid w:val="00360A4F"/>
    <w:rsid w:val="00361E0A"/>
    <w:rsid w:val="003933DB"/>
    <w:rsid w:val="003A24FB"/>
    <w:rsid w:val="00455AD7"/>
    <w:rsid w:val="00460E38"/>
    <w:rsid w:val="00474B1C"/>
    <w:rsid w:val="0053084D"/>
    <w:rsid w:val="00540149"/>
    <w:rsid w:val="0055580F"/>
    <w:rsid w:val="0056612F"/>
    <w:rsid w:val="00575B83"/>
    <w:rsid w:val="005A40BF"/>
    <w:rsid w:val="005A5C4B"/>
    <w:rsid w:val="005B45E2"/>
    <w:rsid w:val="005C30AE"/>
    <w:rsid w:val="005C5D58"/>
    <w:rsid w:val="005E221F"/>
    <w:rsid w:val="005F7B5E"/>
    <w:rsid w:val="006438F7"/>
    <w:rsid w:val="00667DC8"/>
    <w:rsid w:val="00671F79"/>
    <w:rsid w:val="006B21CF"/>
    <w:rsid w:val="00702DAE"/>
    <w:rsid w:val="00726F74"/>
    <w:rsid w:val="00777921"/>
    <w:rsid w:val="007872F0"/>
    <w:rsid w:val="007B55B8"/>
    <w:rsid w:val="007C77FF"/>
    <w:rsid w:val="007F1831"/>
    <w:rsid w:val="00801B72"/>
    <w:rsid w:val="0080632C"/>
    <w:rsid w:val="00854ECE"/>
    <w:rsid w:val="008D09AE"/>
    <w:rsid w:val="008D23E8"/>
    <w:rsid w:val="008F5726"/>
    <w:rsid w:val="00916660"/>
    <w:rsid w:val="0094228C"/>
    <w:rsid w:val="00985883"/>
    <w:rsid w:val="009913B6"/>
    <w:rsid w:val="00A83665"/>
    <w:rsid w:val="00B047C3"/>
    <w:rsid w:val="00B111B4"/>
    <w:rsid w:val="00B40BC5"/>
    <w:rsid w:val="00B532BD"/>
    <w:rsid w:val="00B63587"/>
    <w:rsid w:val="00BD6979"/>
    <w:rsid w:val="00C03314"/>
    <w:rsid w:val="00C15B4D"/>
    <w:rsid w:val="00C474D2"/>
    <w:rsid w:val="00C7292E"/>
    <w:rsid w:val="00C86317"/>
    <w:rsid w:val="00C8650F"/>
    <w:rsid w:val="00CA3A17"/>
    <w:rsid w:val="00CC24D9"/>
    <w:rsid w:val="00D21B68"/>
    <w:rsid w:val="00D24E60"/>
    <w:rsid w:val="00D53D5E"/>
    <w:rsid w:val="00D82093"/>
    <w:rsid w:val="00DB2B87"/>
    <w:rsid w:val="00DC3A55"/>
    <w:rsid w:val="00DD2D1E"/>
    <w:rsid w:val="00E00903"/>
    <w:rsid w:val="00E04BAF"/>
    <w:rsid w:val="00E20229"/>
    <w:rsid w:val="00E3146C"/>
    <w:rsid w:val="00E864B2"/>
    <w:rsid w:val="00E866B4"/>
    <w:rsid w:val="00E874E7"/>
    <w:rsid w:val="00E937AE"/>
    <w:rsid w:val="00E95F15"/>
    <w:rsid w:val="00EB16DE"/>
    <w:rsid w:val="00ED0619"/>
    <w:rsid w:val="00ED19F3"/>
    <w:rsid w:val="00ED2654"/>
    <w:rsid w:val="00EE3F0E"/>
    <w:rsid w:val="00EF1CAA"/>
    <w:rsid w:val="00F23FD4"/>
    <w:rsid w:val="00F32CCD"/>
    <w:rsid w:val="00F44432"/>
    <w:rsid w:val="00F53E84"/>
    <w:rsid w:val="00F82139"/>
    <w:rsid w:val="00F90B83"/>
    <w:rsid w:val="00FA6BDC"/>
    <w:rsid w:val="00FC0A19"/>
    <w:rsid w:val="00FC42D0"/>
    <w:rsid w:val="00FC6E60"/>
    <w:rsid w:val="00FD2CAB"/>
    <w:rsid w:val="00FE1BE5"/>
    <w:rsid w:val="00FE5938"/>
    <w:rsid w:val="00FF569E"/>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C642A"/>
    <w:pPr>
      <w:spacing w:after="200" w:line="276" w:lineRule="auto"/>
    </w:pPr>
    <w:rPr>
      <w:rFonts w:cs="Calibri"/>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702DAE"/>
    <w:pPr>
      <w:ind w:left="720"/>
    </w:pPr>
  </w:style>
  <w:style w:type="paragraph" w:styleId="Buborkszveg">
    <w:name w:val="Balloon Text"/>
    <w:basedOn w:val="Norml"/>
    <w:link w:val="BuborkszvegChar"/>
    <w:uiPriority w:val="99"/>
    <w:semiHidden/>
    <w:rsid w:val="00702DA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702DAE"/>
    <w:rPr>
      <w:rFonts w:ascii="Tahoma" w:hAnsi="Tahoma" w:cs="Tahoma"/>
      <w:sz w:val="16"/>
      <w:szCs w:val="16"/>
    </w:rPr>
  </w:style>
  <w:style w:type="paragraph" w:styleId="lfej">
    <w:name w:val="header"/>
    <w:basedOn w:val="Norml"/>
    <w:link w:val="lfejChar"/>
    <w:uiPriority w:val="99"/>
    <w:rsid w:val="00272D91"/>
    <w:pPr>
      <w:tabs>
        <w:tab w:val="center" w:pos="4536"/>
        <w:tab w:val="right" w:pos="9072"/>
      </w:tabs>
      <w:spacing w:after="0" w:line="240" w:lineRule="auto"/>
    </w:pPr>
  </w:style>
  <w:style w:type="character" w:customStyle="1" w:styleId="lfejChar">
    <w:name w:val="Élőfej Char"/>
    <w:basedOn w:val="Bekezdsalapbettpusa"/>
    <w:link w:val="lfej"/>
    <w:uiPriority w:val="99"/>
    <w:locked/>
    <w:rsid w:val="00272D91"/>
  </w:style>
  <w:style w:type="paragraph" w:styleId="llb">
    <w:name w:val="footer"/>
    <w:basedOn w:val="Norml"/>
    <w:link w:val="llbChar"/>
    <w:uiPriority w:val="99"/>
    <w:rsid w:val="00272D91"/>
    <w:pPr>
      <w:tabs>
        <w:tab w:val="center" w:pos="4536"/>
        <w:tab w:val="right" w:pos="9072"/>
      </w:tabs>
      <w:spacing w:after="0" w:line="240" w:lineRule="auto"/>
    </w:pPr>
  </w:style>
  <w:style w:type="character" w:customStyle="1" w:styleId="llbChar">
    <w:name w:val="Élőláb Char"/>
    <w:basedOn w:val="Bekezdsalapbettpusa"/>
    <w:link w:val="llb"/>
    <w:uiPriority w:val="99"/>
    <w:locked/>
    <w:rsid w:val="00272D91"/>
  </w:style>
  <w:style w:type="paragraph" w:customStyle="1" w:styleId="m-3838208817188496172msolistparagraph">
    <w:name w:val="m_-3838208817188496172msolistparagraph"/>
    <w:basedOn w:val="Norml"/>
    <w:uiPriority w:val="99"/>
    <w:rsid w:val="0055580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apple-converted-space">
    <w:name w:val="apple-converted-space"/>
    <w:basedOn w:val="Bekezdsalapbettpusa"/>
    <w:uiPriority w:val="99"/>
    <w:rsid w:val="0055580F"/>
  </w:style>
  <w:style w:type="paragraph" w:customStyle="1" w:styleId="m-6701463039682758231gmail-msolistparagraph">
    <w:name w:val="m_-6701463039682758231gmail-msolistparagraph"/>
    <w:basedOn w:val="Norml"/>
    <w:uiPriority w:val="99"/>
    <w:rsid w:val="00671F79"/>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733620750">
      <w:marLeft w:val="0"/>
      <w:marRight w:val="0"/>
      <w:marTop w:val="0"/>
      <w:marBottom w:val="0"/>
      <w:divBdr>
        <w:top w:val="none" w:sz="0" w:space="0" w:color="auto"/>
        <w:left w:val="none" w:sz="0" w:space="0" w:color="auto"/>
        <w:bottom w:val="none" w:sz="0" w:space="0" w:color="auto"/>
        <w:right w:val="none" w:sz="0" w:space="0" w:color="auto"/>
      </w:divBdr>
    </w:div>
    <w:div w:id="733620751">
      <w:marLeft w:val="0"/>
      <w:marRight w:val="0"/>
      <w:marTop w:val="0"/>
      <w:marBottom w:val="0"/>
      <w:divBdr>
        <w:top w:val="none" w:sz="0" w:space="0" w:color="auto"/>
        <w:left w:val="none" w:sz="0" w:space="0" w:color="auto"/>
        <w:bottom w:val="none" w:sz="0" w:space="0" w:color="auto"/>
        <w:right w:val="none" w:sz="0" w:space="0" w:color="auto"/>
      </w:divBdr>
    </w:div>
    <w:div w:id="733620752">
      <w:marLeft w:val="0"/>
      <w:marRight w:val="0"/>
      <w:marTop w:val="0"/>
      <w:marBottom w:val="0"/>
      <w:divBdr>
        <w:top w:val="none" w:sz="0" w:space="0" w:color="auto"/>
        <w:left w:val="none" w:sz="0" w:space="0" w:color="auto"/>
        <w:bottom w:val="none" w:sz="0" w:space="0" w:color="auto"/>
        <w:right w:val="none" w:sz="0" w:space="0" w:color="auto"/>
      </w:divBdr>
    </w:div>
    <w:div w:id="733620753">
      <w:marLeft w:val="0"/>
      <w:marRight w:val="0"/>
      <w:marTop w:val="0"/>
      <w:marBottom w:val="0"/>
      <w:divBdr>
        <w:top w:val="none" w:sz="0" w:space="0" w:color="auto"/>
        <w:left w:val="none" w:sz="0" w:space="0" w:color="auto"/>
        <w:bottom w:val="none" w:sz="0" w:space="0" w:color="auto"/>
        <w:right w:val="none" w:sz="0" w:space="0" w:color="auto"/>
      </w:divBdr>
    </w:div>
    <w:div w:id="733620754">
      <w:marLeft w:val="0"/>
      <w:marRight w:val="0"/>
      <w:marTop w:val="0"/>
      <w:marBottom w:val="0"/>
      <w:divBdr>
        <w:top w:val="none" w:sz="0" w:space="0" w:color="auto"/>
        <w:left w:val="none" w:sz="0" w:space="0" w:color="auto"/>
        <w:bottom w:val="none" w:sz="0" w:space="0" w:color="auto"/>
        <w:right w:val="none" w:sz="0" w:space="0" w:color="auto"/>
      </w:divBdr>
    </w:div>
    <w:div w:id="733620755">
      <w:marLeft w:val="0"/>
      <w:marRight w:val="0"/>
      <w:marTop w:val="0"/>
      <w:marBottom w:val="0"/>
      <w:divBdr>
        <w:top w:val="none" w:sz="0" w:space="0" w:color="auto"/>
        <w:left w:val="none" w:sz="0" w:space="0" w:color="auto"/>
        <w:bottom w:val="none" w:sz="0" w:space="0" w:color="auto"/>
        <w:right w:val="none" w:sz="0" w:space="0" w:color="auto"/>
      </w:divBdr>
    </w:div>
    <w:div w:id="733620756">
      <w:marLeft w:val="0"/>
      <w:marRight w:val="0"/>
      <w:marTop w:val="0"/>
      <w:marBottom w:val="0"/>
      <w:divBdr>
        <w:top w:val="none" w:sz="0" w:space="0" w:color="auto"/>
        <w:left w:val="none" w:sz="0" w:space="0" w:color="auto"/>
        <w:bottom w:val="none" w:sz="0" w:space="0" w:color="auto"/>
        <w:right w:val="none" w:sz="0" w:space="0" w:color="auto"/>
      </w:divBdr>
    </w:div>
    <w:div w:id="733620757">
      <w:marLeft w:val="0"/>
      <w:marRight w:val="0"/>
      <w:marTop w:val="0"/>
      <w:marBottom w:val="0"/>
      <w:divBdr>
        <w:top w:val="none" w:sz="0" w:space="0" w:color="auto"/>
        <w:left w:val="none" w:sz="0" w:space="0" w:color="auto"/>
        <w:bottom w:val="none" w:sz="0" w:space="0" w:color="auto"/>
        <w:right w:val="none" w:sz="0" w:space="0" w:color="auto"/>
      </w:divBdr>
    </w:div>
    <w:div w:id="733620758">
      <w:marLeft w:val="0"/>
      <w:marRight w:val="0"/>
      <w:marTop w:val="0"/>
      <w:marBottom w:val="0"/>
      <w:divBdr>
        <w:top w:val="none" w:sz="0" w:space="0" w:color="auto"/>
        <w:left w:val="none" w:sz="0" w:space="0" w:color="auto"/>
        <w:bottom w:val="none" w:sz="0" w:space="0" w:color="auto"/>
        <w:right w:val="none" w:sz="0" w:space="0" w:color="auto"/>
      </w:divBdr>
    </w:div>
    <w:div w:id="733620759">
      <w:marLeft w:val="0"/>
      <w:marRight w:val="0"/>
      <w:marTop w:val="0"/>
      <w:marBottom w:val="0"/>
      <w:divBdr>
        <w:top w:val="none" w:sz="0" w:space="0" w:color="auto"/>
        <w:left w:val="none" w:sz="0" w:space="0" w:color="auto"/>
        <w:bottom w:val="none" w:sz="0" w:space="0" w:color="auto"/>
        <w:right w:val="none" w:sz="0" w:space="0" w:color="auto"/>
      </w:divBdr>
    </w:div>
    <w:div w:id="733620760">
      <w:marLeft w:val="0"/>
      <w:marRight w:val="0"/>
      <w:marTop w:val="0"/>
      <w:marBottom w:val="0"/>
      <w:divBdr>
        <w:top w:val="none" w:sz="0" w:space="0" w:color="auto"/>
        <w:left w:val="none" w:sz="0" w:space="0" w:color="auto"/>
        <w:bottom w:val="none" w:sz="0" w:space="0" w:color="auto"/>
        <w:right w:val="none" w:sz="0" w:space="0" w:color="auto"/>
      </w:divBdr>
    </w:div>
    <w:div w:id="733620761">
      <w:marLeft w:val="0"/>
      <w:marRight w:val="0"/>
      <w:marTop w:val="0"/>
      <w:marBottom w:val="0"/>
      <w:divBdr>
        <w:top w:val="none" w:sz="0" w:space="0" w:color="auto"/>
        <w:left w:val="none" w:sz="0" w:space="0" w:color="auto"/>
        <w:bottom w:val="none" w:sz="0" w:space="0" w:color="auto"/>
        <w:right w:val="none" w:sz="0" w:space="0" w:color="auto"/>
      </w:divBdr>
    </w:div>
    <w:div w:id="7336207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5781</Words>
  <Characters>39892</Characters>
  <Application>Microsoft Office Word</Application>
  <DocSecurity>4</DocSecurity>
  <Lines>332</Lines>
  <Paragraphs>91</Paragraphs>
  <ScaleCrop>false</ScaleCrop>
  <Company>Hewlett-Packard Company</Company>
  <LinksUpToDate>false</LinksUpToDate>
  <CharactersWithSpaces>45582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András</dc:creator>
  <cp:lastModifiedBy>forgacs.andrea</cp:lastModifiedBy>
  <cp:revision>2</cp:revision>
  <cp:lastPrinted>2017-02-13T12:39:00Z</cp:lastPrinted>
  <dcterms:created xsi:type="dcterms:W3CDTF">2017-03-28T13:44:00Z</dcterms:created>
  <dcterms:modified xsi:type="dcterms:W3CDTF">2017-03-28T13:44:00Z</dcterms:modified>
</cp:coreProperties>
</file>